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2FE8" w:rsidRPr="004112A0" w:rsidRDefault="001E2FE8" w:rsidP="001E2FE8">
      <w:pPr>
        <w:rPr>
          <w:b/>
          <w:sz w:val="36"/>
          <w:szCs w:val="36"/>
        </w:rPr>
      </w:pPr>
      <w:r w:rsidRPr="004112A0">
        <w:rPr>
          <w:b/>
          <w:sz w:val="36"/>
          <w:szCs w:val="36"/>
        </w:rPr>
        <w:t>Echo du bois n° 91 Fort de Cormeilles</w:t>
      </w:r>
    </w:p>
    <w:p w:rsidR="001E2FE8" w:rsidRPr="00E7770C" w:rsidRDefault="001E2FE8" w:rsidP="004112A0">
      <w:pPr>
        <w:jc w:val="center"/>
        <w:rPr>
          <w:b/>
          <w:sz w:val="24"/>
          <w:szCs w:val="24"/>
        </w:rPr>
      </w:pPr>
      <w:r w:rsidRPr="00E7770C">
        <w:rPr>
          <w:b/>
          <w:sz w:val="24"/>
          <w:szCs w:val="24"/>
        </w:rPr>
        <w:drawing>
          <wp:inline distT="0" distB="0" distL="0" distR="0">
            <wp:extent cx="6479540" cy="5883910"/>
            <wp:effectExtent l="19050" t="0" r="0" b="0"/>
            <wp:docPr id="1" name="Image 1" descr=".DOCUMENT 1 CORMEI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1 CORMEILLES.JPG"/>
                    <pic:cNvPicPr/>
                  </pic:nvPicPr>
                  <pic:blipFill>
                    <a:blip r:embed="rId4" cstate="print">
                      <a:lum bright="-23000" contrast="16000"/>
                    </a:blip>
                    <a:stretch>
                      <a:fillRect/>
                    </a:stretch>
                  </pic:blipFill>
                  <pic:spPr>
                    <a:xfrm>
                      <a:off x="0" y="0"/>
                      <a:ext cx="6479540" cy="5883910"/>
                    </a:xfrm>
                    <a:prstGeom prst="rect">
                      <a:avLst/>
                    </a:prstGeom>
                  </pic:spPr>
                </pic:pic>
              </a:graphicData>
            </a:graphic>
          </wp:inline>
        </w:drawing>
      </w:r>
    </w:p>
    <w:p w:rsidR="001E2FE8" w:rsidRPr="006C0AC7" w:rsidRDefault="001E2FE8" w:rsidP="004112A0">
      <w:pPr>
        <w:jc w:val="center"/>
        <w:rPr>
          <w:sz w:val="28"/>
          <w:szCs w:val="28"/>
        </w:rPr>
      </w:pPr>
      <w:r w:rsidRPr="006C0AC7">
        <w:rPr>
          <w:b/>
          <w:sz w:val="28"/>
          <w:szCs w:val="28"/>
        </w:rPr>
        <w:t>Doc</w:t>
      </w:r>
      <w:r w:rsidR="006C0AC7" w:rsidRPr="006C0AC7">
        <w:rPr>
          <w:b/>
          <w:sz w:val="28"/>
          <w:szCs w:val="28"/>
        </w:rPr>
        <w:t>ument</w:t>
      </w:r>
      <w:r w:rsidRPr="006C0AC7">
        <w:rPr>
          <w:b/>
          <w:sz w:val="28"/>
          <w:szCs w:val="28"/>
        </w:rPr>
        <w:t>. 1</w:t>
      </w:r>
      <w:r w:rsidRPr="006C0AC7">
        <w:rPr>
          <w:sz w:val="28"/>
          <w:szCs w:val="28"/>
        </w:rPr>
        <w:t xml:space="preserve"> - Plan du fort et de son enveloppe. Les deux batteries citées y figurent.</w:t>
      </w:r>
    </w:p>
    <w:p w:rsidR="001E2FE8" w:rsidRDefault="001E2FE8" w:rsidP="001E2FE8">
      <w:pPr>
        <w:rPr>
          <w:sz w:val="22"/>
          <w:szCs w:val="22"/>
        </w:rPr>
      </w:pPr>
    </w:p>
    <w:p w:rsidR="004112A0" w:rsidRPr="00E7770C" w:rsidRDefault="004112A0" w:rsidP="004112A0">
      <w:pPr>
        <w:spacing w:after="0" w:line="240" w:lineRule="auto"/>
        <w:jc w:val="both"/>
        <w:rPr>
          <w:sz w:val="24"/>
          <w:szCs w:val="24"/>
        </w:rPr>
      </w:pPr>
      <w:r w:rsidRPr="00E7770C">
        <w:rPr>
          <w:b/>
          <w:sz w:val="22"/>
          <w:szCs w:val="22"/>
        </w:rPr>
        <w:lastRenderedPageBreak/>
        <w:t>Doc</w:t>
      </w:r>
      <w:r w:rsidR="006C0AC7">
        <w:rPr>
          <w:b/>
          <w:sz w:val="22"/>
          <w:szCs w:val="22"/>
        </w:rPr>
        <w:t>ument</w:t>
      </w:r>
      <w:r w:rsidRPr="00E7770C">
        <w:rPr>
          <w:b/>
          <w:sz w:val="22"/>
          <w:szCs w:val="22"/>
        </w:rPr>
        <w:t>. 2</w:t>
      </w:r>
      <w:r>
        <w:rPr>
          <w:sz w:val="22"/>
          <w:szCs w:val="22"/>
        </w:rPr>
        <w:t xml:space="preserve"> - </w:t>
      </w:r>
      <w:r w:rsidRPr="00E7770C">
        <w:rPr>
          <w:sz w:val="24"/>
          <w:szCs w:val="24"/>
        </w:rPr>
        <w:t>Le plan plutôt élaboré des casemates ressort surtout de la coupe CD et de l’élévation EF</w:t>
      </w:r>
      <w:proofErr w:type="gramStart"/>
      <w:r w:rsidRPr="00E7770C">
        <w:rPr>
          <w:sz w:val="24"/>
          <w:szCs w:val="24"/>
        </w:rPr>
        <w:t>.(</w:t>
      </w:r>
      <w:proofErr w:type="gramEnd"/>
      <w:r w:rsidRPr="00E7770C">
        <w:rPr>
          <w:sz w:val="24"/>
          <w:szCs w:val="24"/>
        </w:rPr>
        <w:t>S.H.D., Vincennes, Archives du Génie, article 8, section 2*, Feuilles de renseignements sur les nouveaux forts).</w:t>
      </w:r>
    </w:p>
    <w:p w:rsidR="004112A0" w:rsidRDefault="001E2FE8" w:rsidP="004112A0">
      <w:pPr>
        <w:jc w:val="center"/>
        <w:rPr>
          <w:sz w:val="28"/>
          <w:szCs w:val="28"/>
        </w:rPr>
      </w:pPr>
      <w:r>
        <w:rPr>
          <w:noProof/>
          <w:sz w:val="28"/>
          <w:szCs w:val="28"/>
          <w:lang w:eastAsia="fr-FR"/>
        </w:rPr>
        <w:drawing>
          <wp:inline distT="0" distB="0" distL="0" distR="0">
            <wp:extent cx="6645910" cy="6821033"/>
            <wp:effectExtent l="19050" t="0" r="2540" b="0"/>
            <wp:docPr id="2" name="Image 1" descr="C:\Users\GUEBEL M. CHRISTINE\Documents\ADFM - Copie\REVUE 91 2015\.JPG documen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BEL M. CHRISTINE\Documents\ADFM - Copie\REVUE 91 2015\.JPG document 5.JPG"/>
                    <pic:cNvPicPr>
                      <a:picLocks noChangeAspect="1" noChangeArrowheads="1"/>
                    </pic:cNvPicPr>
                  </pic:nvPicPr>
                  <pic:blipFill>
                    <a:blip r:embed="rId5" cstate="print">
                      <a:lum bright="-10000"/>
                    </a:blip>
                    <a:srcRect/>
                    <a:stretch>
                      <a:fillRect/>
                    </a:stretch>
                  </pic:blipFill>
                  <pic:spPr bwMode="auto">
                    <a:xfrm>
                      <a:off x="0" y="0"/>
                      <a:ext cx="6645910" cy="6821033"/>
                    </a:xfrm>
                    <a:prstGeom prst="rect">
                      <a:avLst/>
                    </a:prstGeom>
                    <a:noFill/>
                    <a:ln w="9525">
                      <a:noFill/>
                      <a:miter lim="800000"/>
                      <a:headEnd/>
                      <a:tailEnd/>
                    </a:ln>
                  </pic:spPr>
                </pic:pic>
              </a:graphicData>
            </a:graphic>
          </wp:inline>
        </w:drawing>
      </w:r>
    </w:p>
    <w:p w:rsidR="004112A0" w:rsidRPr="00E7770C" w:rsidRDefault="004112A0" w:rsidP="004112A0">
      <w:pPr>
        <w:jc w:val="center"/>
        <w:rPr>
          <w:b/>
          <w:sz w:val="28"/>
          <w:szCs w:val="28"/>
        </w:rPr>
      </w:pPr>
      <w:r w:rsidRPr="00E7770C">
        <w:rPr>
          <w:b/>
          <w:sz w:val="28"/>
          <w:szCs w:val="28"/>
        </w:rPr>
        <w:lastRenderedPageBreak/>
        <w:drawing>
          <wp:inline distT="0" distB="0" distL="0" distR="0">
            <wp:extent cx="8640000" cy="5768471"/>
            <wp:effectExtent l="19050" t="0" r="8700" b="0"/>
            <wp:docPr id="5" name="Image 7" descr=".JPG document 4 mouv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 document 4 mouvements.jpg"/>
                    <pic:cNvPicPr/>
                  </pic:nvPicPr>
                  <pic:blipFill>
                    <a:blip r:embed="rId6" cstate="print">
                      <a:grayscl/>
                      <a:lum bright="-12000" contrast="5000"/>
                    </a:blip>
                    <a:srcRect r="4508"/>
                    <a:stretch>
                      <a:fillRect/>
                    </a:stretch>
                  </pic:blipFill>
                  <pic:spPr>
                    <a:xfrm>
                      <a:off x="0" y="0"/>
                      <a:ext cx="8640000" cy="5768471"/>
                    </a:xfrm>
                    <a:prstGeom prst="rect">
                      <a:avLst/>
                    </a:prstGeom>
                  </pic:spPr>
                </pic:pic>
              </a:graphicData>
            </a:graphic>
          </wp:inline>
        </w:drawing>
      </w:r>
    </w:p>
    <w:p w:rsidR="004112A0" w:rsidRPr="008831F0" w:rsidRDefault="004112A0" w:rsidP="004112A0">
      <w:pPr>
        <w:spacing w:after="0" w:line="240" w:lineRule="auto"/>
        <w:jc w:val="both"/>
        <w:rPr>
          <w:sz w:val="22"/>
          <w:szCs w:val="22"/>
        </w:rPr>
      </w:pPr>
      <w:r w:rsidRPr="006C0AC7">
        <w:rPr>
          <w:b/>
          <w:sz w:val="28"/>
          <w:szCs w:val="28"/>
        </w:rPr>
        <w:t>Doc</w:t>
      </w:r>
      <w:r w:rsidR="006C0AC7" w:rsidRPr="006C0AC7">
        <w:rPr>
          <w:b/>
          <w:sz w:val="28"/>
          <w:szCs w:val="28"/>
        </w:rPr>
        <w:t>ument</w:t>
      </w:r>
      <w:r w:rsidRPr="006C0AC7">
        <w:rPr>
          <w:b/>
          <w:sz w:val="28"/>
          <w:szCs w:val="28"/>
        </w:rPr>
        <w:t>. 3</w:t>
      </w:r>
      <w:r w:rsidRPr="008831F0">
        <w:rPr>
          <w:sz w:val="22"/>
          <w:szCs w:val="22"/>
        </w:rPr>
        <w:t xml:space="preserve"> -</w:t>
      </w:r>
      <w:r w:rsidRPr="00E7770C">
        <w:rPr>
          <w:sz w:val="28"/>
          <w:szCs w:val="28"/>
        </w:rPr>
        <w:t>Mouvements de matériels dans les forts. Le premier plan montre les mouvements des divers matériels. Le portique installé au fort  a été supprimé ici, la voûte du local du rez-de-chaussée est donc visible</w:t>
      </w:r>
      <w:proofErr w:type="gramStart"/>
      <w:r w:rsidRPr="00E7770C">
        <w:rPr>
          <w:sz w:val="28"/>
          <w:szCs w:val="28"/>
        </w:rPr>
        <w:t>..</w:t>
      </w:r>
      <w:proofErr w:type="gramEnd"/>
      <w:r w:rsidRPr="00E7770C">
        <w:rPr>
          <w:sz w:val="28"/>
          <w:szCs w:val="28"/>
        </w:rPr>
        <w:t xml:space="preserve"> (</w:t>
      </w:r>
      <w:proofErr w:type="spellStart"/>
      <w:r w:rsidRPr="00E7770C">
        <w:rPr>
          <w:sz w:val="28"/>
          <w:szCs w:val="28"/>
        </w:rPr>
        <w:t>Aide-Mémoire</w:t>
      </w:r>
      <w:proofErr w:type="spellEnd"/>
      <w:r w:rsidRPr="00E7770C">
        <w:rPr>
          <w:sz w:val="28"/>
          <w:szCs w:val="28"/>
        </w:rPr>
        <w:t xml:space="preserve"> à l’usage des officiers d’artillerie, 1880, chapitre 12, planche 26).</w:t>
      </w:r>
    </w:p>
    <w:p w:rsidR="004112A0" w:rsidRDefault="004112A0" w:rsidP="004112A0">
      <w:pPr>
        <w:spacing w:after="0" w:line="240" w:lineRule="auto"/>
        <w:jc w:val="both"/>
        <w:rPr>
          <w:i/>
          <w:sz w:val="24"/>
          <w:szCs w:val="24"/>
        </w:rPr>
      </w:pPr>
    </w:p>
    <w:p w:rsidR="00E7770C" w:rsidRDefault="00E7770C" w:rsidP="004112A0">
      <w:pPr>
        <w:jc w:val="center"/>
        <w:rPr>
          <w:sz w:val="28"/>
          <w:szCs w:val="28"/>
        </w:rPr>
      </w:pPr>
    </w:p>
    <w:p w:rsidR="004112A0" w:rsidRPr="00E7770C" w:rsidRDefault="004112A0" w:rsidP="004112A0">
      <w:pPr>
        <w:rPr>
          <w:b/>
          <w:sz w:val="28"/>
          <w:szCs w:val="28"/>
        </w:rPr>
      </w:pPr>
      <w:r w:rsidRPr="00E7770C">
        <w:rPr>
          <w:b/>
          <w:sz w:val="28"/>
          <w:szCs w:val="28"/>
        </w:rPr>
        <w:lastRenderedPageBreak/>
        <w:t>Echo du Bois n° 93 –</w:t>
      </w:r>
      <w:r w:rsidR="00B44C74">
        <w:rPr>
          <w:b/>
          <w:sz w:val="28"/>
          <w:szCs w:val="28"/>
        </w:rPr>
        <w:t xml:space="preserve"> n° 94 -</w:t>
      </w:r>
      <w:r w:rsidRPr="00E7770C">
        <w:rPr>
          <w:b/>
          <w:sz w:val="28"/>
          <w:szCs w:val="28"/>
        </w:rPr>
        <w:t xml:space="preserve"> FORT DE VILLENEUVE-SAINT-GEORGES</w:t>
      </w:r>
    </w:p>
    <w:p w:rsidR="004112A0" w:rsidRDefault="004112A0" w:rsidP="00E7770C">
      <w:pPr>
        <w:jc w:val="center"/>
        <w:rPr>
          <w:b/>
          <w:sz w:val="36"/>
          <w:szCs w:val="36"/>
        </w:rPr>
      </w:pPr>
      <w:r w:rsidRPr="004112A0">
        <w:rPr>
          <w:b/>
          <w:sz w:val="36"/>
          <w:szCs w:val="36"/>
        </w:rPr>
        <w:drawing>
          <wp:inline distT="0" distB="0" distL="0" distR="0">
            <wp:extent cx="7920000" cy="5675798"/>
            <wp:effectExtent l="19050" t="0" r="4800" b="0"/>
            <wp:docPr id="8" name="Image 1" descr="PLAN 1 V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1 VSG.jpg"/>
                    <pic:cNvPicPr/>
                  </pic:nvPicPr>
                  <pic:blipFill>
                    <a:blip r:embed="rId7" cstate="print">
                      <a:lum bright="-5000" contrast="7000"/>
                    </a:blip>
                    <a:srcRect t="5140" r="7920" b="30838"/>
                    <a:stretch>
                      <a:fillRect/>
                    </a:stretch>
                  </pic:blipFill>
                  <pic:spPr>
                    <a:xfrm>
                      <a:off x="0" y="0"/>
                      <a:ext cx="7920000" cy="5675798"/>
                    </a:xfrm>
                    <a:prstGeom prst="rect">
                      <a:avLst/>
                    </a:prstGeom>
                  </pic:spPr>
                </pic:pic>
              </a:graphicData>
            </a:graphic>
          </wp:inline>
        </w:drawing>
      </w:r>
    </w:p>
    <w:p w:rsidR="00E7770C" w:rsidRPr="00E7770C" w:rsidRDefault="00E7770C" w:rsidP="004112A0">
      <w:pPr>
        <w:rPr>
          <w:sz w:val="24"/>
          <w:szCs w:val="24"/>
        </w:rPr>
      </w:pPr>
      <w:r w:rsidRPr="00E7770C">
        <w:rPr>
          <w:b/>
          <w:sz w:val="24"/>
          <w:szCs w:val="24"/>
        </w:rPr>
        <w:t>Document 4</w:t>
      </w:r>
      <w:r w:rsidRPr="00E7770C">
        <w:rPr>
          <w:sz w:val="24"/>
          <w:szCs w:val="24"/>
        </w:rPr>
        <w:t xml:space="preserve"> – La caserne de troupe occupe le grand côté de la grande cour rectangulaire, celle des officiers le petit côté de la petite cour. La position excentrée de la citerne ressort nettement du plan. Derrière la casemate à tir indirect centrale est placée l’unique traverse de la crête d’infanterie. D’après le trait fin employé, l’escarpe était dans un premier temps à terre coulante et ce n’est qu’ultérieurement qu’elle fut modifiée en </w:t>
      </w:r>
      <w:r w:rsidRPr="00E7770C">
        <w:rPr>
          <w:i/>
          <w:sz w:val="24"/>
          <w:szCs w:val="24"/>
        </w:rPr>
        <w:t xml:space="preserve">escarpe détachée. </w:t>
      </w:r>
      <w:r w:rsidRPr="00E7770C">
        <w:rPr>
          <w:sz w:val="24"/>
          <w:szCs w:val="24"/>
        </w:rPr>
        <w:t>Le terrain, apparemment assez</w:t>
      </w:r>
      <w:r w:rsidRPr="00E7770C">
        <w:rPr>
          <w:i/>
          <w:sz w:val="24"/>
          <w:szCs w:val="24"/>
        </w:rPr>
        <w:t xml:space="preserve"> </w:t>
      </w:r>
      <w:r w:rsidRPr="00E7770C">
        <w:rPr>
          <w:sz w:val="24"/>
          <w:szCs w:val="24"/>
        </w:rPr>
        <w:t xml:space="preserve">instable, exigea le renforcement de la contrescarpe avec des piédroits perpendiculaires à la direction du fossé. A gauche, ils sont trop espacés pour servir de support à des </w:t>
      </w:r>
      <w:r w:rsidRPr="00E7770C">
        <w:rPr>
          <w:i/>
          <w:sz w:val="24"/>
          <w:szCs w:val="24"/>
        </w:rPr>
        <w:t>arceaux en décharge,</w:t>
      </w:r>
      <w:r w:rsidRPr="00E7770C">
        <w:rPr>
          <w:sz w:val="24"/>
          <w:szCs w:val="24"/>
        </w:rPr>
        <w:t xml:space="preserve"> mais ceux-ci furent peut être réalisés à droite où les piédroits sont beaucoup plus rapprochés (voir S.H.D., Vincennes, archives du Génie, section contemporaine</w:t>
      </w:r>
    </w:p>
    <w:p w:rsidR="00E7770C" w:rsidRDefault="00E7770C" w:rsidP="00E7770C">
      <w:pPr>
        <w:jc w:val="center"/>
        <w:rPr>
          <w:b/>
          <w:sz w:val="24"/>
          <w:szCs w:val="24"/>
        </w:rPr>
      </w:pPr>
      <w:r w:rsidRPr="00E7770C">
        <w:rPr>
          <w:b/>
          <w:sz w:val="24"/>
          <w:szCs w:val="24"/>
        </w:rPr>
        <w:lastRenderedPageBreak/>
        <w:drawing>
          <wp:inline distT="0" distB="0" distL="0" distR="0">
            <wp:extent cx="8640000" cy="5154740"/>
            <wp:effectExtent l="19050" t="0" r="8700" b="0"/>
            <wp:docPr id="14" name="Image 1" descr="C:\Users\GUEBEL M. CHRISTINE\Documents\ADFM - Copie\REVUE 93 2016\PLAN 3 porte entré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BEL M. CHRISTINE\Documents\ADFM - Copie\REVUE 93 2016\PLAN 3 porte entrée .jpg"/>
                    <pic:cNvPicPr>
                      <a:picLocks noChangeAspect="1" noChangeArrowheads="1"/>
                    </pic:cNvPicPr>
                  </pic:nvPicPr>
                  <pic:blipFill>
                    <a:blip r:embed="rId8" cstate="print">
                      <a:lum bright="-8000"/>
                    </a:blip>
                    <a:srcRect l="2787" t="9396" r="9755" b="21611"/>
                    <a:stretch>
                      <a:fillRect/>
                    </a:stretch>
                  </pic:blipFill>
                  <pic:spPr bwMode="auto">
                    <a:xfrm>
                      <a:off x="0" y="0"/>
                      <a:ext cx="8640000" cy="5154740"/>
                    </a:xfrm>
                    <a:prstGeom prst="rect">
                      <a:avLst/>
                    </a:prstGeom>
                    <a:noFill/>
                    <a:ln w="9525">
                      <a:noFill/>
                      <a:miter lim="800000"/>
                      <a:headEnd/>
                      <a:tailEnd/>
                    </a:ln>
                  </pic:spPr>
                </pic:pic>
              </a:graphicData>
            </a:graphic>
          </wp:inline>
        </w:drawing>
      </w:r>
    </w:p>
    <w:p w:rsidR="00E7770C" w:rsidRPr="00E7770C" w:rsidRDefault="00E7770C" w:rsidP="00E7770C">
      <w:pPr>
        <w:spacing w:line="240" w:lineRule="auto"/>
        <w:jc w:val="both"/>
        <w:rPr>
          <w:sz w:val="24"/>
          <w:szCs w:val="24"/>
        </w:rPr>
      </w:pPr>
      <w:r w:rsidRPr="00E7770C">
        <w:rPr>
          <w:b/>
          <w:sz w:val="24"/>
          <w:szCs w:val="24"/>
        </w:rPr>
        <w:t>Document 5</w:t>
      </w:r>
      <w:r w:rsidRPr="00E7770C">
        <w:rPr>
          <w:sz w:val="24"/>
          <w:szCs w:val="24"/>
        </w:rPr>
        <w:t xml:space="preserve"> – L’emploi d’une pierre de moindre qualité sous le cordon  n’était apparemment pas prévu au départ au vu des assises du dessin, mais apparaît clairement sur les photos (voir photo en couleur Ph. T. op. </w:t>
      </w:r>
      <w:proofErr w:type="spellStart"/>
      <w:r w:rsidRPr="00E7770C">
        <w:rPr>
          <w:sz w:val="24"/>
          <w:szCs w:val="24"/>
        </w:rPr>
        <w:t>cit</w:t>
      </w:r>
      <w:proofErr w:type="spellEnd"/>
      <w:r w:rsidRPr="00E7770C">
        <w:rPr>
          <w:sz w:val="24"/>
          <w:szCs w:val="24"/>
        </w:rPr>
        <w:t>. p. 203)</w:t>
      </w:r>
    </w:p>
    <w:p w:rsidR="00E7770C" w:rsidRDefault="00E7770C" w:rsidP="00E7770C">
      <w:pPr>
        <w:jc w:val="center"/>
        <w:rPr>
          <w:b/>
          <w:sz w:val="24"/>
          <w:szCs w:val="24"/>
        </w:rPr>
      </w:pPr>
    </w:p>
    <w:p w:rsidR="00E7770C" w:rsidRDefault="00E7770C" w:rsidP="00E7770C">
      <w:pPr>
        <w:jc w:val="center"/>
        <w:rPr>
          <w:b/>
          <w:sz w:val="24"/>
          <w:szCs w:val="24"/>
        </w:rPr>
      </w:pPr>
    </w:p>
    <w:p w:rsidR="00E7770C" w:rsidRDefault="00E7770C" w:rsidP="00E7770C">
      <w:pPr>
        <w:jc w:val="center"/>
        <w:rPr>
          <w:b/>
          <w:sz w:val="24"/>
          <w:szCs w:val="24"/>
        </w:rPr>
      </w:pPr>
    </w:p>
    <w:p w:rsidR="00E7770C" w:rsidRDefault="00E7770C" w:rsidP="00E7770C">
      <w:pPr>
        <w:jc w:val="center"/>
        <w:rPr>
          <w:b/>
          <w:sz w:val="24"/>
          <w:szCs w:val="24"/>
        </w:rPr>
      </w:pPr>
    </w:p>
    <w:p w:rsidR="00B44C74" w:rsidRDefault="006C0AC7" w:rsidP="00B44C74">
      <w:pPr>
        <w:rPr>
          <w:sz w:val="24"/>
          <w:szCs w:val="24"/>
        </w:rPr>
      </w:pPr>
      <w:r>
        <w:rPr>
          <w:b/>
          <w:sz w:val="24"/>
          <w:szCs w:val="24"/>
        </w:rPr>
        <w:lastRenderedPageBreak/>
        <w:t xml:space="preserve">Document. 6 – </w:t>
      </w:r>
      <w:r>
        <w:rPr>
          <w:sz w:val="24"/>
          <w:szCs w:val="24"/>
        </w:rPr>
        <w:t>Sur le 1</w:t>
      </w:r>
      <w:r w:rsidRPr="006C0AC7">
        <w:rPr>
          <w:sz w:val="24"/>
          <w:szCs w:val="24"/>
          <w:vertAlign w:val="superscript"/>
        </w:rPr>
        <w:t>er</w:t>
      </w:r>
      <w:r>
        <w:rPr>
          <w:sz w:val="24"/>
          <w:szCs w:val="24"/>
        </w:rPr>
        <w:t xml:space="preserve"> état, les cinq pièces sous casemate cuirassée sont incluses dans les pièces de rempart. Sur le 2</w:t>
      </w:r>
      <w:r w:rsidRPr="006C0AC7">
        <w:rPr>
          <w:sz w:val="24"/>
          <w:szCs w:val="24"/>
          <w:vertAlign w:val="superscript"/>
        </w:rPr>
        <w:t>ème</w:t>
      </w:r>
      <w:r>
        <w:rPr>
          <w:sz w:val="24"/>
          <w:szCs w:val="24"/>
        </w:rPr>
        <w:t xml:space="preserve"> état, l’effacement après coup du nombre 5, est encore partiellement visible dans la rubrique « pièces sous casemates cuirassées ». Sur le 1</w:t>
      </w:r>
      <w:r w:rsidRPr="006C0AC7">
        <w:rPr>
          <w:sz w:val="24"/>
          <w:szCs w:val="24"/>
          <w:vertAlign w:val="superscript"/>
        </w:rPr>
        <w:t>er</w:t>
      </w:r>
      <w:r>
        <w:rPr>
          <w:sz w:val="24"/>
          <w:szCs w:val="24"/>
        </w:rPr>
        <w:t xml:space="preserve"> état, il y a en plus 6 pièces de réserve et sur le 2</w:t>
      </w:r>
      <w:r w:rsidRPr="006C0AC7">
        <w:rPr>
          <w:sz w:val="24"/>
          <w:szCs w:val="24"/>
          <w:vertAlign w:val="superscript"/>
        </w:rPr>
        <w:t>ème</w:t>
      </w:r>
      <w:r>
        <w:rPr>
          <w:sz w:val="24"/>
          <w:szCs w:val="24"/>
        </w:rPr>
        <w:t xml:space="preserve"> même 9.</w:t>
      </w:r>
    </w:p>
    <w:tbl>
      <w:tblPr>
        <w:tblW w:w="0" w:type="auto"/>
        <w:tblLayout w:type="fixed"/>
        <w:tblCellMar>
          <w:left w:w="30" w:type="dxa"/>
          <w:right w:w="30" w:type="dxa"/>
        </w:tblCellMar>
        <w:tblLook w:val="0000"/>
      </w:tblPr>
      <w:tblGrid>
        <w:gridCol w:w="4480"/>
        <w:gridCol w:w="1904"/>
        <w:gridCol w:w="2080"/>
        <w:gridCol w:w="1584"/>
        <w:gridCol w:w="2560"/>
        <w:gridCol w:w="1696"/>
      </w:tblGrid>
      <w:tr w:rsidR="00B44C74" w:rsidRPr="00B44C74">
        <w:tblPrEx>
          <w:tblCellMar>
            <w:top w:w="0" w:type="dxa"/>
            <w:bottom w:w="0" w:type="dxa"/>
          </w:tblCellMar>
        </w:tblPrEx>
        <w:trPr>
          <w:trHeight w:val="372"/>
        </w:trPr>
        <w:tc>
          <w:tcPr>
            <w:tcW w:w="4480" w:type="dxa"/>
            <w:tcBorders>
              <w:top w:val="single" w:sz="12" w:space="0" w:color="auto"/>
              <w:left w:val="single" w:sz="12" w:space="0" w:color="auto"/>
              <w:bottom w:val="single" w:sz="12"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8"/>
                <w:szCs w:val="28"/>
              </w:rPr>
            </w:pPr>
            <w:r w:rsidRPr="00B44C74">
              <w:rPr>
                <w:rFonts w:ascii="Calibri" w:hAnsi="Calibri" w:cs="Calibri"/>
                <w:color w:val="000000"/>
                <w:sz w:val="28"/>
                <w:szCs w:val="28"/>
              </w:rPr>
              <w:t>Fort de</w:t>
            </w:r>
          </w:p>
        </w:tc>
        <w:tc>
          <w:tcPr>
            <w:tcW w:w="1904" w:type="dxa"/>
            <w:tcBorders>
              <w:top w:val="single" w:sz="12" w:space="0" w:color="auto"/>
              <w:left w:val="single" w:sz="6" w:space="0" w:color="auto"/>
              <w:bottom w:val="single" w:sz="12"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b/>
                <w:bCs/>
                <w:color w:val="000000"/>
                <w:sz w:val="28"/>
                <w:szCs w:val="28"/>
              </w:rPr>
            </w:pPr>
            <w:r w:rsidRPr="00B44C74">
              <w:rPr>
                <w:rFonts w:ascii="Calibri" w:hAnsi="Calibri" w:cs="Calibri"/>
                <w:b/>
                <w:bCs/>
                <w:color w:val="000000"/>
                <w:sz w:val="28"/>
                <w:szCs w:val="28"/>
              </w:rPr>
              <w:t>CORMEILLES</w:t>
            </w:r>
          </w:p>
        </w:tc>
        <w:tc>
          <w:tcPr>
            <w:tcW w:w="2080" w:type="dxa"/>
            <w:tcBorders>
              <w:top w:val="single" w:sz="12" w:space="0" w:color="auto"/>
              <w:left w:val="single" w:sz="6" w:space="0" w:color="auto"/>
              <w:bottom w:val="single" w:sz="12"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b/>
                <w:bCs/>
                <w:color w:val="000000"/>
                <w:sz w:val="28"/>
                <w:szCs w:val="28"/>
              </w:rPr>
            </w:pPr>
            <w:r w:rsidRPr="00B44C74">
              <w:rPr>
                <w:rFonts w:ascii="Calibri" w:hAnsi="Calibri" w:cs="Calibri"/>
                <w:b/>
                <w:bCs/>
                <w:color w:val="000000"/>
                <w:sz w:val="28"/>
                <w:szCs w:val="28"/>
              </w:rPr>
              <w:t>V. St-Georges</w:t>
            </w:r>
          </w:p>
        </w:tc>
        <w:tc>
          <w:tcPr>
            <w:tcW w:w="1584" w:type="dxa"/>
            <w:tcBorders>
              <w:top w:val="single" w:sz="12" w:space="0" w:color="auto"/>
              <w:left w:val="single" w:sz="6" w:space="0" w:color="auto"/>
              <w:bottom w:val="single" w:sz="12"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b/>
                <w:bCs/>
                <w:color w:val="000000"/>
                <w:sz w:val="28"/>
                <w:szCs w:val="28"/>
              </w:rPr>
            </w:pPr>
            <w:r w:rsidRPr="00B44C74">
              <w:rPr>
                <w:rFonts w:ascii="Calibri" w:hAnsi="Calibri" w:cs="Calibri"/>
                <w:b/>
                <w:bCs/>
                <w:color w:val="000000"/>
                <w:sz w:val="28"/>
                <w:szCs w:val="28"/>
              </w:rPr>
              <w:t>VILLIERS</w:t>
            </w:r>
          </w:p>
        </w:tc>
        <w:tc>
          <w:tcPr>
            <w:tcW w:w="2560" w:type="dxa"/>
            <w:tcBorders>
              <w:top w:val="single" w:sz="12" w:space="0" w:color="auto"/>
              <w:left w:val="single" w:sz="6" w:space="0" w:color="auto"/>
              <w:bottom w:val="single" w:sz="12"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b/>
                <w:bCs/>
                <w:color w:val="000000"/>
                <w:sz w:val="28"/>
                <w:szCs w:val="28"/>
              </w:rPr>
            </w:pPr>
            <w:r w:rsidRPr="00B44C74">
              <w:rPr>
                <w:rFonts w:ascii="Calibri" w:hAnsi="Calibri" w:cs="Calibri"/>
                <w:b/>
                <w:bCs/>
                <w:color w:val="000000"/>
                <w:sz w:val="28"/>
                <w:szCs w:val="28"/>
              </w:rPr>
              <w:t>CHAMPIGNY</w:t>
            </w:r>
          </w:p>
        </w:tc>
        <w:tc>
          <w:tcPr>
            <w:tcW w:w="1696" w:type="dxa"/>
            <w:tcBorders>
              <w:top w:val="single" w:sz="12" w:space="0" w:color="auto"/>
              <w:left w:val="single" w:sz="6" w:space="0" w:color="auto"/>
              <w:bottom w:val="single" w:sz="12" w:space="0" w:color="auto"/>
              <w:right w:val="single" w:sz="12"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b/>
                <w:bCs/>
                <w:color w:val="000000"/>
                <w:sz w:val="28"/>
                <w:szCs w:val="28"/>
              </w:rPr>
            </w:pPr>
            <w:r w:rsidRPr="00B44C74">
              <w:rPr>
                <w:rFonts w:ascii="Calibri" w:hAnsi="Calibri" w:cs="Calibri"/>
                <w:b/>
                <w:bCs/>
                <w:color w:val="000000"/>
                <w:sz w:val="28"/>
                <w:szCs w:val="28"/>
              </w:rPr>
              <w:t>SUCY</w:t>
            </w:r>
          </w:p>
        </w:tc>
      </w:tr>
      <w:tr w:rsidR="00B44C74" w:rsidRPr="00B44C74">
        <w:tblPrEx>
          <w:tblCellMar>
            <w:top w:w="0" w:type="dxa"/>
            <w:bottom w:w="0" w:type="dxa"/>
          </w:tblCellMar>
        </w:tblPrEx>
        <w:trPr>
          <w:trHeight w:val="300"/>
        </w:trPr>
        <w:tc>
          <w:tcPr>
            <w:tcW w:w="4480" w:type="dxa"/>
            <w:tcBorders>
              <w:top w:val="single" w:sz="12" w:space="0" w:color="auto"/>
              <w:left w:val="single" w:sz="12"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904" w:type="dxa"/>
            <w:tcBorders>
              <w:top w:val="single" w:sz="12"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2080" w:type="dxa"/>
            <w:tcBorders>
              <w:top w:val="single" w:sz="12"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584" w:type="dxa"/>
            <w:tcBorders>
              <w:top w:val="single" w:sz="12"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2560" w:type="dxa"/>
            <w:tcBorders>
              <w:top w:val="single" w:sz="12"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696" w:type="dxa"/>
            <w:tcBorders>
              <w:top w:val="single" w:sz="12" w:space="0" w:color="auto"/>
              <w:left w:val="single" w:sz="6" w:space="0" w:color="auto"/>
              <w:bottom w:val="single" w:sz="6" w:space="0" w:color="auto"/>
              <w:right w:val="single" w:sz="12"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r>
      <w:tr w:rsidR="00B44C74" w:rsidRPr="00B44C74">
        <w:tblPrEx>
          <w:tblCellMar>
            <w:top w:w="0" w:type="dxa"/>
            <w:bottom w:w="0" w:type="dxa"/>
          </w:tblCellMar>
        </w:tblPrEx>
        <w:trPr>
          <w:trHeight w:val="300"/>
        </w:trPr>
        <w:tc>
          <w:tcPr>
            <w:tcW w:w="4480" w:type="dxa"/>
            <w:tcBorders>
              <w:top w:val="single" w:sz="6" w:space="0" w:color="auto"/>
              <w:left w:val="single" w:sz="12"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Début des travaux</w:t>
            </w:r>
          </w:p>
        </w:tc>
        <w:tc>
          <w:tcPr>
            <w:tcW w:w="190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01.07.1875</w:t>
            </w:r>
          </w:p>
        </w:tc>
        <w:tc>
          <w:tcPr>
            <w:tcW w:w="208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10.07.1876</w:t>
            </w:r>
          </w:p>
        </w:tc>
        <w:tc>
          <w:tcPr>
            <w:tcW w:w="158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Mai 1878</w:t>
            </w:r>
          </w:p>
        </w:tc>
        <w:tc>
          <w:tcPr>
            <w:tcW w:w="256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Mai 1878</w:t>
            </w:r>
          </w:p>
        </w:tc>
        <w:tc>
          <w:tcPr>
            <w:tcW w:w="1696" w:type="dxa"/>
            <w:tcBorders>
              <w:top w:val="single" w:sz="6" w:space="0" w:color="auto"/>
              <w:left w:val="single" w:sz="6" w:space="0" w:color="auto"/>
              <w:bottom w:val="single" w:sz="6" w:space="0" w:color="auto"/>
              <w:right w:val="single" w:sz="12"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19.04.1879</w:t>
            </w:r>
          </w:p>
        </w:tc>
      </w:tr>
      <w:tr w:rsidR="00B44C74" w:rsidRPr="00B44C74">
        <w:tblPrEx>
          <w:tblCellMar>
            <w:top w:w="0" w:type="dxa"/>
            <w:bottom w:w="0" w:type="dxa"/>
          </w:tblCellMar>
        </w:tblPrEx>
        <w:trPr>
          <w:trHeight w:val="300"/>
        </w:trPr>
        <w:tc>
          <w:tcPr>
            <w:tcW w:w="4480" w:type="dxa"/>
            <w:tcBorders>
              <w:top w:val="single" w:sz="6" w:space="0" w:color="auto"/>
              <w:left w:val="single" w:sz="12"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Fin des travaux</w:t>
            </w:r>
          </w:p>
        </w:tc>
        <w:tc>
          <w:tcPr>
            <w:tcW w:w="190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31.12.1877</w:t>
            </w:r>
          </w:p>
        </w:tc>
        <w:tc>
          <w:tcPr>
            <w:tcW w:w="208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Fin 1879</w:t>
            </w:r>
          </w:p>
        </w:tc>
        <w:tc>
          <w:tcPr>
            <w:tcW w:w="158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fin 1880</w:t>
            </w:r>
          </w:p>
        </w:tc>
        <w:tc>
          <w:tcPr>
            <w:tcW w:w="256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Fin 1880</w:t>
            </w:r>
          </w:p>
        </w:tc>
        <w:tc>
          <w:tcPr>
            <w:tcW w:w="1696" w:type="dxa"/>
            <w:tcBorders>
              <w:top w:val="single" w:sz="6" w:space="0" w:color="auto"/>
              <w:left w:val="single" w:sz="6" w:space="0" w:color="auto"/>
              <w:bottom w:val="single" w:sz="6" w:space="0" w:color="auto"/>
              <w:right w:val="single" w:sz="12"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Juillet 1881</w:t>
            </w:r>
          </w:p>
        </w:tc>
      </w:tr>
      <w:tr w:rsidR="00B44C74" w:rsidRPr="00B44C74">
        <w:tblPrEx>
          <w:tblCellMar>
            <w:top w:w="0" w:type="dxa"/>
            <w:bottom w:w="0" w:type="dxa"/>
          </w:tblCellMar>
        </w:tblPrEx>
        <w:trPr>
          <w:trHeight w:val="300"/>
        </w:trPr>
        <w:tc>
          <w:tcPr>
            <w:tcW w:w="4480" w:type="dxa"/>
            <w:tcBorders>
              <w:top w:val="single" w:sz="6" w:space="0" w:color="auto"/>
              <w:left w:val="single" w:sz="12"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90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208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58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256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696" w:type="dxa"/>
            <w:tcBorders>
              <w:top w:val="single" w:sz="6" w:space="0" w:color="auto"/>
              <w:left w:val="single" w:sz="6" w:space="0" w:color="auto"/>
              <w:bottom w:val="single" w:sz="6" w:space="0" w:color="auto"/>
              <w:right w:val="single" w:sz="12"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r>
      <w:tr w:rsidR="00B44C74" w:rsidRPr="00B44C74">
        <w:tblPrEx>
          <w:tblCellMar>
            <w:top w:w="0" w:type="dxa"/>
            <w:bottom w:w="0" w:type="dxa"/>
          </w:tblCellMar>
        </w:tblPrEx>
        <w:trPr>
          <w:trHeight w:val="300"/>
        </w:trPr>
        <w:tc>
          <w:tcPr>
            <w:tcW w:w="4480" w:type="dxa"/>
            <w:tcBorders>
              <w:top w:val="single" w:sz="6" w:space="0" w:color="auto"/>
              <w:left w:val="single" w:sz="12"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Estimation en francs</w:t>
            </w:r>
          </w:p>
        </w:tc>
        <w:tc>
          <w:tcPr>
            <w:tcW w:w="190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2 992 910</w:t>
            </w:r>
          </w:p>
        </w:tc>
        <w:tc>
          <w:tcPr>
            <w:tcW w:w="208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3 165 000</w:t>
            </w:r>
          </w:p>
        </w:tc>
        <w:tc>
          <w:tcPr>
            <w:tcW w:w="158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1 123 200</w:t>
            </w:r>
          </w:p>
        </w:tc>
        <w:tc>
          <w:tcPr>
            <w:tcW w:w="256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1 185 700</w:t>
            </w:r>
          </w:p>
        </w:tc>
        <w:tc>
          <w:tcPr>
            <w:tcW w:w="1696" w:type="dxa"/>
            <w:tcBorders>
              <w:top w:val="single" w:sz="6" w:space="0" w:color="auto"/>
              <w:left w:val="single" w:sz="6" w:space="0" w:color="auto"/>
              <w:bottom w:val="single" w:sz="6" w:space="0" w:color="auto"/>
              <w:right w:val="single" w:sz="12"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1 286 000</w:t>
            </w:r>
          </w:p>
        </w:tc>
      </w:tr>
      <w:tr w:rsidR="00B44C74" w:rsidRPr="00B44C74">
        <w:tblPrEx>
          <w:tblCellMar>
            <w:top w:w="0" w:type="dxa"/>
            <w:bottom w:w="0" w:type="dxa"/>
          </w:tblCellMar>
        </w:tblPrEx>
        <w:trPr>
          <w:trHeight w:val="300"/>
        </w:trPr>
        <w:tc>
          <w:tcPr>
            <w:tcW w:w="4480" w:type="dxa"/>
            <w:tcBorders>
              <w:top w:val="single" w:sz="6" w:space="0" w:color="auto"/>
              <w:left w:val="single" w:sz="12"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90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208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58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256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696" w:type="dxa"/>
            <w:tcBorders>
              <w:top w:val="single" w:sz="6" w:space="0" w:color="auto"/>
              <w:left w:val="single" w:sz="6" w:space="0" w:color="auto"/>
              <w:bottom w:val="single" w:sz="6" w:space="0" w:color="auto"/>
              <w:right w:val="single" w:sz="12"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r>
      <w:tr w:rsidR="00B44C74" w:rsidRPr="00B44C74">
        <w:tblPrEx>
          <w:tblCellMar>
            <w:top w:w="0" w:type="dxa"/>
            <w:bottom w:w="0" w:type="dxa"/>
          </w:tblCellMar>
        </w:tblPrEx>
        <w:trPr>
          <w:trHeight w:val="300"/>
        </w:trPr>
        <w:tc>
          <w:tcPr>
            <w:tcW w:w="4480" w:type="dxa"/>
            <w:tcBorders>
              <w:top w:val="single" w:sz="6" w:space="0" w:color="auto"/>
              <w:left w:val="single" w:sz="12"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Pièces sous tourelle</w:t>
            </w:r>
          </w:p>
        </w:tc>
        <w:tc>
          <w:tcPr>
            <w:tcW w:w="190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208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 xml:space="preserve">2                     </w:t>
            </w:r>
            <w:proofErr w:type="spellStart"/>
            <w:r w:rsidRPr="00B44C74">
              <w:rPr>
                <w:rFonts w:ascii="Calibri" w:hAnsi="Calibri" w:cs="Calibri"/>
                <w:color w:val="000000"/>
                <w:sz w:val="24"/>
                <w:szCs w:val="24"/>
              </w:rPr>
              <w:t>2</w:t>
            </w:r>
            <w:proofErr w:type="spellEnd"/>
          </w:p>
        </w:tc>
        <w:tc>
          <w:tcPr>
            <w:tcW w:w="158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256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696" w:type="dxa"/>
            <w:tcBorders>
              <w:top w:val="single" w:sz="6" w:space="0" w:color="auto"/>
              <w:left w:val="single" w:sz="6" w:space="0" w:color="auto"/>
              <w:bottom w:val="single" w:sz="6" w:space="0" w:color="auto"/>
              <w:right w:val="single" w:sz="12"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r>
      <w:tr w:rsidR="00B44C74" w:rsidRPr="00B44C74">
        <w:tblPrEx>
          <w:tblCellMar>
            <w:top w:w="0" w:type="dxa"/>
            <w:bottom w:w="0" w:type="dxa"/>
          </w:tblCellMar>
        </w:tblPrEx>
        <w:trPr>
          <w:trHeight w:val="300"/>
        </w:trPr>
        <w:tc>
          <w:tcPr>
            <w:tcW w:w="4480" w:type="dxa"/>
            <w:tcBorders>
              <w:top w:val="single" w:sz="6" w:space="0" w:color="auto"/>
              <w:left w:val="single" w:sz="12"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Pièces sous casemate cuirassée</w:t>
            </w:r>
          </w:p>
        </w:tc>
        <w:tc>
          <w:tcPr>
            <w:tcW w:w="190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208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58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256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696" w:type="dxa"/>
            <w:tcBorders>
              <w:top w:val="single" w:sz="6" w:space="0" w:color="auto"/>
              <w:left w:val="single" w:sz="6" w:space="0" w:color="auto"/>
              <w:bottom w:val="single" w:sz="6" w:space="0" w:color="auto"/>
              <w:right w:val="single" w:sz="12"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r>
      <w:tr w:rsidR="00B44C74" w:rsidRPr="00B44C74">
        <w:tblPrEx>
          <w:tblCellMar>
            <w:top w:w="0" w:type="dxa"/>
            <w:bottom w:w="0" w:type="dxa"/>
          </w:tblCellMar>
        </w:tblPrEx>
        <w:trPr>
          <w:trHeight w:val="300"/>
        </w:trPr>
        <w:tc>
          <w:tcPr>
            <w:tcW w:w="4480" w:type="dxa"/>
            <w:tcBorders>
              <w:top w:val="single" w:sz="6" w:space="0" w:color="auto"/>
              <w:left w:val="single" w:sz="12"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Pièces de rempart</w:t>
            </w:r>
          </w:p>
        </w:tc>
        <w:tc>
          <w:tcPr>
            <w:tcW w:w="190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35</w:t>
            </w:r>
          </w:p>
        </w:tc>
        <w:tc>
          <w:tcPr>
            <w:tcW w:w="208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40                   35</w:t>
            </w:r>
          </w:p>
        </w:tc>
        <w:tc>
          <w:tcPr>
            <w:tcW w:w="158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18</w:t>
            </w:r>
          </w:p>
        </w:tc>
        <w:tc>
          <w:tcPr>
            <w:tcW w:w="256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18</w:t>
            </w:r>
          </w:p>
        </w:tc>
        <w:tc>
          <w:tcPr>
            <w:tcW w:w="1696" w:type="dxa"/>
            <w:tcBorders>
              <w:top w:val="single" w:sz="6" w:space="0" w:color="auto"/>
              <w:left w:val="single" w:sz="6" w:space="0" w:color="auto"/>
              <w:bottom w:val="single" w:sz="6" w:space="0" w:color="auto"/>
              <w:right w:val="single" w:sz="12"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24</w:t>
            </w:r>
          </w:p>
        </w:tc>
      </w:tr>
      <w:tr w:rsidR="00B44C74" w:rsidRPr="00B44C74">
        <w:tblPrEx>
          <w:tblCellMar>
            <w:top w:w="0" w:type="dxa"/>
            <w:bottom w:w="0" w:type="dxa"/>
          </w:tblCellMar>
        </w:tblPrEx>
        <w:trPr>
          <w:trHeight w:val="300"/>
        </w:trPr>
        <w:tc>
          <w:tcPr>
            <w:tcW w:w="4480" w:type="dxa"/>
            <w:tcBorders>
              <w:top w:val="single" w:sz="6" w:space="0" w:color="auto"/>
              <w:left w:val="single" w:sz="12"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Pièces à tir indirect</w:t>
            </w:r>
          </w:p>
        </w:tc>
        <w:tc>
          <w:tcPr>
            <w:tcW w:w="190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7</w:t>
            </w:r>
          </w:p>
        </w:tc>
        <w:tc>
          <w:tcPr>
            <w:tcW w:w="208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 xml:space="preserve">5                     </w:t>
            </w:r>
            <w:proofErr w:type="spellStart"/>
            <w:r w:rsidRPr="00B44C74">
              <w:rPr>
                <w:rFonts w:ascii="Calibri" w:hAnsi="Calibri" w:cs="Calibri"/>
                <w:color w:val="000000"/>
                <w:sz w:val="24"/>
                <w:szCs w:val="24"/>
              </w:rPr>
              <w:t>5</w:t>
            </w:r>
            <w:proofErr w:type="spellEnd"/>
          </w:p>
        </w:tc>
        <w:tc>
          <w:tcPr>
            <w:tcW w:w="158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256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696" w:type="dxa"/>
            <w:tcBorders>
              <w:top w:val="single" w:sz="6" w:space="0" w:color="auto"/>
              <w:left w:val="single" w:sz="6" w:space="0" w:color="auto"/>
              <w:bottom w:val="single" w:sz="6" w:space="0" w:color="auto"/>
              <w:right w:val="single" w:sz="12"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r>
      <w:tr w:rsidR="00B44C74" w:rsidRPr="00B44C74">
        <w:tblPrEx>
          <w:tblCellMar>
            <w:top w:w="0" w:type="dxa"/>
            <w:bottom w:w="0" w:type="dxa"/>
          </w:tblCellMar>
        </w:tblPrEx>
        <w:trPr>
          <w:trHeight w:val="300"/>
        </w:trPr>
        <w:tc>
          <w:tcPr>
            <w:tcW w:w="4480" w:type="dxa"/>
            <w:tcBorders>
              <w:top w:val="single" w:sz="6" w:space="0" w:color="auto"/>
              <w:left w:val="single" w:sz="12"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Pièces de flanquement</w:t>
            </w:r>
          </w:p>
        </w:tc>
        <w:tc>
          <w:tcPr>
            <w:tcW w:w="190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12</w:t>
            </w:r>
          </w:p>
        </w:tc>
        <w:tc>
          <w:tcPr>
            <w:tcW w:w="208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 xml:space="preserve">19                   </w:t>
            </w:r>
            <w:proofErr w:type="spellStart"/>
            <w:r w:rsidRPr="00B44C74">
              <w:rPr>
                <w:rFonts w:ascii="Calibri" w:hAnsi="Calibri" w:cs="Calibri"/>
                <w:color w:val="000000"/>
                <w:sz w:val="24"/>
                <w:szCs w:val="24"/>
              </w:rPr>
              <w:t>19</w:t>
            </w:r>
            <w:proofErr w:type="spellEnd"/>
          </w:p>
        </w:tc>
        <w:tc>
          <w:tcPr>
            <w:tcW w:w="158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10</w:t>
            </w:r>
          </w:p>
        </w:tc>
        <w:tc>
          <w:tcPr>
            <w:tcW w:w="256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10</w:t>
            </w:r>
          </w:p>
        </w:tc>
        <w:tc>
          <w:tcPr>
            <w:tcW w:w="1696" w:type="dxa"/>
            <w:tcBorders>
              <w:top w:val="single" w:sz="6" w:space="0" w:color="auto"/>
              <w:left w:val="single" w:sz="6" w:space="0" w:color="auto"/>
              <w:bottom w:val="single" w:sz="6" w:space="0" w:color="auto"/>
              <w:right w:val="single" w:sz="12"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10</w:t>
            </w:r>
          </w:p>
        </w:tc>
      </w:tr>
      <w:tr w:rsidR="00B44C74" w:rsidRPr="00B44C74">
        <w:tblPrEx>
          <w:tblCellMar>
            <w:top w:w="0" w:type="dxa"/>
            <w:bottom w:w="0" w:type="dxa"/>
          </w:tblCellMar>
        </w:tblPrEx>
        <w:trPr>
          <w:trHeight w:val="300"/>
        </w:trPr>
        <w:tc>
          <w:tcPr>
            <w:tcW w:w="4480" w:type="dxa"/>
            <w:tcBorders>
              <w:top w:val="single" w:sz="6" w:space="0" w:color="auto"/>
              <w:left w:val="single" w:sz="12"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Mortiers</w:t>
            </w:r>
          </w:p>
        </w:tc>
        <w:tc>
          <w:tcPr>
            <w:tcW w:w="190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10</w:t>
            </w:r>
          </w:p>
        </w:tc>
        <w:tc>
          <w:tcPr>
            <w:tcW w:w="208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12                     6</w:t>
            </w:r>
          </w:p>
        </w:tc>
        <w:tc>
          <w:tcPr>
            <w:tcW w:w="158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3</w:t>
            </w:r>
          </w:p>
        </w:tc>
        <w:tc>
          <w:tcPr>
            <w:tcW w:w="256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3</w:t>
            </w:r>
          </w:p>
        </w:tc>
        <w:tc>
          <w:tcPr>
            <w:tcW w:w="1696" w:type="dxa"/>
            <w:tcBorders>
              <w:top w:val="single" w:sz="6" w:space="0" w:color="auto"/>
              <w:left w:val="single" w:sz="6" w:space="0" w:color="auto"/>
              <w:bottom w:val="single" w:sz="6" w:space="0" w:color="auto"/>
              <w:right w:val="single" w:sz="12"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7</w:t>
            </w:r>
          </w:p>
        </w:tc>
      </w:tr>
      <w:tr w:rsidR="00B44C74" w:rsidRPr="00B44C74">
        <w:tblPrEx>
          <w:tblCellMar>
            <w:top w:w="0" w:type="dxa"/>
            <w:bottom w:w="0" w:type="dxa"/>
          </w:tblCellMar>
        </w:tblPrEx>
        <w:trPr>
          <w:trHeight w:val="300"/>
        </w:trPr>
        <w:tc>
          <w:tcPr>
            <w:tcW w:w="4480" w:type="dxa"/>
            <w:tcBorders>
              <w:top w:val="single" w:sz="6" w:space="0" w:color="auto"/>
              <w:left w:val="single" w:sz="12"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90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64</w:t>
            </w:r>
          </w:p>
        </w:tc>
        <w:tc>
          <w:tcPr>
            <w:tcW w:w="208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78                   67</w:t>
            </w:r>
          </w:p>
        </w:tc>
        <w:tc>
          <w:tcPr>
            <w:tcW w:w="158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31</w:t>
            </w:r>
          </w:p>
        </w:tc>
        <w:tc>
          <w:tcPr>
            <w:tcW w:w="256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31</w:t>
            </w:r>
          </w:p>
        </w:tc>
        <w:tc>
          <w:tcPr>
            <w:tcW w:w="1696" w:type="dxa"/>
            <w:tcBorders>
              <w:top w:val="single" w:sz="6" w:space="0" w:color="auto"/>
              <w:left w:val="single" w:sz="6" w:space="0" w:color="auto"/>
              <w:bottom w:val="single" w:sz="6" w:space="0" w:color="auto"/>
              <w:right w:val="single" w:sz="12"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41</w:t>
            </w:r>
          </w:p>
        </w:tc>
      </w:tr>
      <w:tr w:rsidR="00B44C74" w:rsidRPr="00B44C74">
        <w:tblPrEx>
          <w:tblCellMar>
            <w:top w:w="0" w:type="dxa"/>
            <w:bottom w:w="0" w:type="dxa"/>
          </w:tblCellMar>
        </w:tblPrEx>
        <w:trPr>
          <w:trHeight w:val="300"/>
        </w:trPr>
        <w:tc>
          <w:tcPr>
            <w:tcW w:w="4480" w:type="dxa"/>
            <w:tcBorders>
              <w:top w:val="single" w:sz="6" w:space="0" w:color="auto"/>
              <w:left w:val="single" w:sz="12"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90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208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58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256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696" w:type="dxa"/>
            <w:tcBorders>
              <w:top w:val="single" w:sz="6" w:space="0" w:color="auto"/>
              <w:left w:val="single" w:sz="6" w:space="0" w:color="auto"/>
              <w:bottom w:val="single" w:sz="6" w:space="0" w:color="auto"/>
              <w:right w:val="single" w:sz="12"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r>
      <w:tr w:rsidR="00B44C74" w:rsidRPr="00B44C74">
        <w:tblPrEx>
          <w:tblCellMar>
            <w:top w:w="0" w:type="dxa"/>
            <w:bottom w:w="0" w:type="dxa"/>
          </w:tblCellMar>
        </w:tblPrEx>
        <w:trPr>
          <w:trHeight w:val="300"/>
        </w:trPr>
        <w:tc>
          <w:tcPr>
            <w:tcW w:w="4480" w:type="dxa"/>
            <w:tcBorders>
              <w:top w:val="single" w:sz="6" w:space="0" w:color="auto"/>
              <w:left w:val="single" w:sz="12"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Officiers</w:t>
            </w:r>
          </w:p>
        </w:tc>
        <w:tc>
          <w:tcPr>
            <w:tcW w:w="190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36</w:t>
            </w:r>
          </w:p>
        </w:tc>
        <w:tc>
          <w:tcPr>
            <w:tcW w:w="208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32</w:t>
            </w:r>
          </w:p>
        </w:tc>
        <w:tc>
          <w:tcPr>
            <w:tcW w:w="158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12</w:t>
            </w:r>
          </w:p>
        </w:tc>
        <w:tc>
          <w:tcPr>
            <w:tcW w:w="256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12</w:t>
            </w:r>
          </w:p>
        </w:tc>
        <w:tc>
          <w:tcPr>
            <w:tcW w:w="1696" w:type="dxa"/>
            <w:tcBorders>
              <w:top w:val="single" w:sz="6" w:space="0" w:color="auto"/>
              <w:left w:val="single" w:sz="6" w:space="0" w:color="auto"/>
              <w:bottom w:val="single" w:sz="6" w:space="0" w:color="auto"/>
              <w:right w:val="single" w:sz="12"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10</w:t>
            </w:r>
          </w:p>
        </w:tc>
      </w:tr>
      <w:tr w:rsidR="00B44C74" w:rsidRPr="00B44C74">
        <w:tblPrEx>
          <w:tblCellMar>
            <w:top w:w="0" w:type="dxa"/>
            <w:bottom w:w="0" w:type="dxa"/>
          </w:tblCellMar>
        </w:tblPrEx>
        <w:trPr>
          <w:trHeight w:val="300"/>
        </w:trPr>
        <w:tc>
          <w:tcPr>
            <w:tcW w:w="4480" w:type="dxa"/>
            <w:tcBorders>
              <w:top w:val="single" w:sz="6" w:space="0" w:color="auto"/>
              <w:left w:val="single" w:sz="12"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Sous-officiers et soldats</w:t>
            </w:r>
          </w:p>
        </w:tc>
        <w:tc>
          <w:tcPr>
            <w:tcW w:w="190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1 096</w:t>
            </w:r>
          </w:p>
        </w:tc>
        <w:tc>
          <w:tcPr>
            <w:tcW w:w="208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1 256</w:t>
            </w:r>
          </w:p>
        </w:tc>
        <w:tc>
          <w:tcPr>
            <w:tcW w:w="158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26</w:t>
            </w:r>
          </w:p>
        </w:tc>
        <w:tc>
          <w:tcPr>
            <w:tcW w:w="256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26</w:t>
            </w:r>
          </w:p>
        </w:tc>
        <w:tc>
          <w:tcPr>
            <w:tcW w:w="1696" w:type="dxa"/>
            <w:tcBorders>
              <w:top w:val="single" w:sz="6" w:space="0" w:color="auto"/>
              <w:left w:val="single" w:sz="6" w:space="0" w:color="auto"/>
              <w:bottom w:val="single" w:sz="6" w:space="0" w:color="auto"/>
              <w:right w:val="single" w:sz="12"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22</w:t>
            </w:r>
          </w:p>
        </w:tc>
      </w:tr>
      <w:tr w:rsidR="00B44C74" w:rsidRPr="00B44C74">
        <w:tblPrEx>
          <w:tblCellMar>
            <w:top w:w="0" w:type="dxa"/>
            <w:bottom w:w="0" w:type="dxa"/>
          </w:tblCellMar>
        </w:tblPrEx>
        <w:trPr>
          <w:trHeight w:val="300"/>
        </w:trPr>
        <w:tc>
          <w:tcPr>
            <w:tcW w:w="4480" w:type="dxa"/>
            <w:tcBorders>
              <w:top w:val="single" w:sz="6" w:space="0" w:color="auto"/>
              <w:left w:val="single" w:sz="12"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Soldats</w:t>
            </w:r>
          </w:p>
        </w:tc>
        <w:tc>
          <w:tcPr>
            <w:tcW w:w="190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208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58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350</w:t>
            </w:r>
          </w:p>
        </w:tc>
        <w:tc>
          <w:tcPr>
            <w:tcW w:w="256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350</w:t>
            </w:r>
          </w:p>
        </w:tc>
        <w:tc>
          <w:tcPr>
            <w:tcW w:w="1696" w:type="dxa"/>
            <w:tcBorders>
              <w:top w:val="single" w:sz="6" w:space="0" w:color="auto"/>
              <w:left w:val="single" w:sz="6" w:space="0" w:color="auto"/>
              <w:bottom w:val="single" w:sz="6" w:space="0" w:color="auto"/>
              <w:right w:val="single" w:sz="12"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350</w:t>
            </w:r>
          </w:p>
        </w:tc>
      </w:tr>
      <w:tr w:rsidR="00B44C74" w:rsidRPr="00B44C74">
        <w:tblPrEx>
          <w:tblCellMar>
            <w:top w:w="0" w:type="dxa"/>
            <w:bottom w:w="0" w:type="dxa"/>
          </w:tblCellMar>
        </w:tblPrEx>
        <w:trPr>
          <w:trHeight w:val="300"/>
        </w:trPr>
        <w:tc>
          <w:tcPr>
            <w:tcW w:w="4480" w:type="dxa"/>
            <w:tcBorders>
              <w:top w:val="single" w:sz="6" w:space="0" w:color="auto"/>
              <w:left w:val="single" w:sz="12"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total</w:t>
            </w:r>
          </w:p>
        </w:tc>
        <w:tc>
          <w:tcPr>
            <w:tcW w:w="190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1 132</w:t>
            </w:r>
          </w:p>
        </w:tc>
        <w:tc>
          <w:tcPr>
            <w:tcW w:w="208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1 288</w:t>
            </w:r>
          </w:p>
        </w:tc>
        <w:tc>
          <w:tcPr>
            <w:tcW w:w="158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388</w:t>
            </w:r>
          </w:p>
        </w:tc>
        <w:tc>
          <w:tcPr>
            <w:tcW w:w="256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388</w:t>
            </w:r>
          </w:p>
        </w:tc>
        <w:tc>
          <w:tcPr>
            <w:tcW w:w="1696" w:type="dxa"/>
            <w:tcBorders>
              <w:top w:val="single" w:sz="6" w:space="0" w:color="auto"/>
              <w:left w:val="single" w:sz="6" w:space="0" w:color="auto"/>
              <w:bottom w:val="single" w:sz="6" w:space="0" w:color="auto"/>
              <w:right w:val="single" w:sz="12"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382</w:t>
            </w:r>
          </w:p>
        </w:tc>
      </w:tr>
      <w:tr w:rsidR="00B44C74" w:rsidRPr="00B44C74">
        <w:tblPrEx>
          <w:tblCellMar>
            <w:top w:w="0" w:type="dxa"/>
            <w:bottom w:w="0" w:type="dxa"/>
          </w:tblCellMar>
        </w:tblPrEx>
        <w:trPr>
          <w:trHeight w:val="300"/>
        </w:trPr>
        <w:tc>
          <w:tcPr>
            <w:tcW w:w="4480" w:type="dxa"/>
            <w:tcBorders>
              <w:top w:val="single" w:sz="6" w:space="0" w:color="auto"/>
              <w:left w:val="single" w:sz="12"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Places pour malades</w:t>
            </w:r>
          </w:p>
        </w:tc>
        <w:tc>
          <w:tcPr>
            <w:tcW w:w="190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78</w:t>
            </w:r>
          </w:p>
        </w:tc>
        <w:tc>
          <w:tcPr>
            <w:tcW w:w="208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24</w:t>
            </w:r>
          </w:p>
        </w:tc>
        <w:tc>
          <w:tcPr>
            <w:tcW w:w="158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12</w:t>
            </w:r>
          </w:p>
        </w:tc>
        <w:tc>
          <w:tcPr>
            <w:tcW w:w="256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12</w:t>
            </w:r>
          </w:p>
        </w:tc>
        <w:tc>
          <w:tcPr>
            <w:tcW w:w="1696" w:type="dxa"/>
            <w:tcBorders>
              <w:top w:val="single" w:sz="6" w:space="0" w:color="auto"/>
              <w:left w:val="single" w:sz="6" w:space="0" w:color="auto"/>
              <w:bottom w:val="single" w:sz="6" w:space="0" w:color="auto"/>
              <w:right w:val="single" w:sz="12"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8</w:t>
            </w:r>
          </w:p>
        </w:tc>
      </w:tr>
      <w:tr w:rsidR="00B44C74" w:rsidRPr="00B44C74">
        <w:tblPrEx>
          <w:tblCellMar>
            <w:top w:w="0" w:type="dxa"/>
            <w:bottom w:w="0" w:type="dxa"/>
          </w:tblCellMar>
        </w:tblPrEx>
        <w:trPr>
          <w:trHeight w:val="300"/>
        </w:trPr>
        <w:tc>
          <w:tcPr>
            <w:tcW w:w="4480" w:type="dxa"/>
            <w:tcBorders>
              <w:top w:val="single" w:sz="6" w:space="0" w:color="auto"/>
              <w:left w:val="single" w:sz="12"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Chevaux</w:t>
            </w:r>
          </w:p>
        </w:tc>
        <w:tc>
          <w:tcPr>
            <w:tcW w:w="190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24</w:t>
            </w:r>
          </w:p>
        </w:tc>
        <w:tc>
          <w:tcPr>
            <w:tcW w:w="208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23</w:t>
            </w:r>
          </w:p>
        </w:tc>
        <w:tc>
          <w:tcPr>
            <w:tcW w:w="158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néant</w:t>
            </w:r>
          </w:p>
        </w:tc>
        <w:tc>
          <w:tcPr>
            <w:tcW w:w="256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néant</w:t>
            </w:r>
          </w:p>
        </w:tc>
        <w:tc>
          <w:tcPr>
            <w:tcW w:w="1696" w:type="dxa"/>
            <w:tcBorders>
              <w:top w:val="single" w:sz="6" w:space="0" w:color="auto"/>
              <w:left w:val="single" w:sz="6" w:space="0" w:color="auto"/>
              <w:bottom w:val="single" w:sz="6" w:space="0" w:color="auto"/>
              <w:right w:val="single" w:sz="12"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6</w:t>
            </w:r>
          </w:p>
        </w:tc>
      </w:tr>
      <w:tr w:rsidR="00B44C74" w:rsidRPr="00B44C74">
        <w:tblPrEx>
          <w:tblCellMar>
            <w:top w:w="0" w:type="dxa"/>
            <w:bottom w:w="0" w:type="dxa"/>
          </w:tblCellMar>
        </w:tblPrEx>
        <w:trPr>
          <w:trHeight w:val="300"/>
        </w:trPr>
        <w:tc>
          <w:tcPr>
            <w:tcW w:w="4480" w:type="dxa"/>
            <w:tcBorders>
              <w:top w:val="single" w:sz="6" w:space="0" w:color="auto"/>
              <w:left w:val="single" w:sz="12"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90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208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58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256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696" w:type="dxa"/>
            <w:tcBorders>
              <w:top w:val="single" w:sz="6" w:space="0" w:color="auto"/>
              <w:left w:val="single" w:sz="6" w:space="0" w:color="auto"/>
              <w:bottom w:val="single" w:sz="6" w:space="0" w:color="auto"/>
              <w:right w:val="single" w:sz="12"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r>
      <w:tr w:rsidR="00B44C74" w:rsidRPr="00B44C74">
        <w:tblPrEx>
          <w:tblCellMar>
            <w:top w:w="0" w:type="dxa"/>
            <w:bottom w:w="0" w:type="dxa"/>
          </w:tblCellMar>
        </w:tblPrEx>
        <w:trPr>
          <w:trHeight w:val="300"/>
        </w:trPr>
        <w:tc>
          <w:tcPr>
            <w:tcW w:w="4480" w:type="dxa"/>
            <w:tcBorders>
              <w:top w:val="single" w:sz="6" w:space="0" w:color="auto"/>
              <w:left w:val="single" w:sz="12"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Magasins à poudre</w:t>
            </w:r>
          </w:p>
        </w:tc>
        <w:tc>
          <w:tcPr>
            <w:tcW w:w="190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2</w:t>
            </w:r>
          </w:p>
        </w:tc>
        <w:tc>
          <w:tcPr>
            <w:tcW w:w="208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2 de</w:t>
            </w:r>
          </w:p>
        </w:tc>
        <w:tc>
          <w:tcPr>
            <w:tcW w:w="158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1 de</w:t>
            </w:r>
          </w:p>
        </w:tc>
        <w:tc>
          <w:tcPr>
            <w:tcW w:w="256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1 de</w:t>
            </w:r>
          </w:p>
        </w:tc>
        <w:tc>
          <w:tcPr>
            <w:tcW w:w="1696" w:type="dxa"/>
            <w:tcBorders>
              <w:top w:val="single" w:sz="6" w:space="0" w:color="auto"/>
              <w:left w:val="single" w:sz="6" w:space="0" w:color="auto"/>
              <w:bottom w:val="single" w:sz="6" w:space="0" w:color="auto"/>
              <w:right w:val="single" w:sz="12"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1 de</w:t>
            </w:r>
          </w:p>
        </w:tc>
      </w:tr>
      <w:tr w:rsidR="00B44C74" w:rsidRPr="00B44C74">
        <w:tblPrEx>
          <w:tblCellMar>
            <w:top w:w="0" w:type="dxa"/>
            <w:bottom w:w="0" w:type="dxa"/>
          </w:tblCellMar>
        </w:tblPrEx>
        <w:trPr>
          <w:trHeight w:val="300"/>
        </w:trPr>
        <w:tc>
          <w:tcPr>
            <w:tcW w:w="4480" w:type="dxa"/>
            <w:tcBorders>
              <w:top w:val="single" w:sz="6" w:space="0" w:color="auto"/>
              <w:left w:val="single" w:sz="12"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Contenance normale</w:t>
            </w:r>
          </w:p>
        </w:tc>
        <w:tc>
          <w:tcPr>
            <w:tcW w:w="190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162 241 kg</w:t>
            </w:r>
          </w:p>
        </w:tc>
        <w:tc>
          <w:tcPr>
            <w:tcW w:w="208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76 000 kg chacun</w:t>
            </w:r>
          </w:p>
        </w:tc>
        <w:tc>
          <w:tcPr>
            <w:tcW w:w="158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80 000 kg</w:t>
            </w:r>
          </w:p>
        </w:tc>
        <w:tc>
          <w:tcPr>
            <w:tcW w:w="256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80 000 kg</w:t>
            </w:r>
          </w:p>
        </w:tc>
        <w:tc>
          <w:tcPr>
            <w:tcW w:w="1696" w:type="dxa"/>
            <w:tcBorders>
              <w:top w:val="single" w:sz="6" w:space="0" w:color="auto"/>
              <w:left w:val="single" w:sz="6" w:space="0" w:color="auto"/>
              <w:bottom w:val="single" w:sz="6" w:space="0" w:color="auto"/>
              <w:right w:val="single" w:sz="12"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66 500 kg</w:t>
            </w:r>
          </w:p>
        </w:tc>
      </w:tr>
      <w:tr w:rsidR="00B44C74" w:rsidRPr="00B44C74">
        <w:tblPrEx>
          <w:tblCellMar>
            <w:top w:w="0" w:type="dxa"/>
            <w:bottom w:w="0" w:type="dxa"/>
          </w:tblCellMar>
        </w:tblPrEx>
        <w:trPr>
          <w:trHeight w:val="300"/>
        </w:trPr>
        <w:tc>
          <w:tcPr>
            <w:tcW w:w="4480" w:type="dxa"/>
            <w:tcBorders>
              <w:top w:val="single" w:sz="6" w:space="0" w:color="auto"/>
              <w:left w:val="single" w:sz="12"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Contenance maximale</w:t>
            </w:r>
          </w:p>
        </w:tc>
        <w:tc>
          <w:tcPr>
            <w:tcW w:w="190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173 341 kg</w:t>
            </w:r>
          </w:p>
        </w:tc>
        <w:tc>
          <w:tcPr>
            <w:tcW w:w="208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58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256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696" w:type="dxa"/>
            <w:tcBorders>
              <w:top w:val="single" w:sz="6" w:space="0" w:color="auto"/>
              <w:left w:val="single" w:sz="6" w:space="0" w:color="auto"/>
              <w:bottom w:val="single" w:sz="6" w:space="0" w:color="auto"/>
              <w:right w:val="single" w:sz="12"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r>
      <w:tr w:rsidR="00B44C74" w:rsidRPr="00B44C74">
        <w:tblPrEx>
          <w:tblCellMar>
            <w:top w:w="0" w:type="dxa"/>
            <w:bottom w:w="0" w:type="dxa"/>
          </w:tblCellMar>
        </w:tblPrEx>
        <w:trPr>
          <w:trHeight w:val="300"/>
        </w:trPr>
        <w:tc>
          <w:tcPr>
            <w:tcW w:w="4480" w:type="dxa"/>
            <w:tcBorders>
              <w:top w:val="single" w:sz="6" w:space="0" w:color="auto"/>
              <w:left w:val="single" w:sz="12"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90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208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58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256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696" w:type="dxa"/>
            <w:tcBorders>
              <w:top w:val="single" w:sz="6" w:space="0" w:color="auto"/>
              <w:left w:val="single" w:sz="6" w:space="0" w:color="auto"/>
              <w:bottom w:val="single" w:sz="6" w:space="0" w:color="auto"/>
              <w:right w:val="single" w:sz="12"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r>
      <w:tr w:rsidR="00B44C74" w:rsidRPr="00B44C74">
        <w:tblPrEx>
          <w:tblCellMar>
            <w:top w:w="0" w:type="dxa"/>
            <w:bottom w:w="0" w:type="dxa"/>
          </w:tblCellMar>
        </w:tblPrEx>
        <w:trPr>
          <w:trHeight w:val="300"/>
        </w:trPr>
        <w:tc>
          <w:tcPr>
            <w:tcW w:w="4480" w:type="dxa"/>
            <w:tcBorders>
              <w:top w:val="single" w:sz="6" w:space="0" w:color="auto"/>
              <w:left w:val="single" w:sz="12"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Magasins aux munitions</w:t>
            </w:r>
          </w:p>
        </w:tc>
        <w:tc>
          <w:tcPr>
            <w:tcW w:w="190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208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3 en tout</w:t>
            </w:r>
          </w:p>
        </w:tc>
        <w:tc>
          <w:tcPr>
            <w:tcW w:w="158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 xml:space="preserve">320 000 </w:t>
            </w:r>
            <w:proofErr w:type="spellStart"/>
            <w:r w:rsidRPr="00B44C74">
              <w:rPr>
                <w:rFonts w:ascii="Calibri" w:hAnsi="Calibri" w:cs="Calibri"/>
                <w:color w:val="000000"/>
                <w:sz w:val="24"/>
                <w:szCs w:val="24"/>
              </w:rPr>
              <w:t>cart</w:t>
            </w:r>
            <w:proofErr w:type="spellEnd"/>
            <w:r w:rsidRPr="00B44C74">
              <w:rPr>
                <w:rFonts w:ascii="Calibri" w:hAnsi="Calibri" w:cs="Calibri"/>
                <w:color w:val="000000"/>
                <w:sz w:val="24"/>
                <w:szCs w:val="24"/>
              </w:rPr>
              <w:t>.</w:t>
            </w:r>
          </w:p>
        </w:tc>
        <w:tc>
          <w:tcPr>
            <w:tcW w:w="256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320 000 cartons</w:t>
            </w:r>
          </w:p>
        </w:tc>
        <w:tc>
          <w:tcPr>
            <w:tcW w:w="1696" w:type="dxa"/>
            <w:tcBorders>
              <w:top w:val="single" w:sz="6" w:space="0" w:color="auto"/>
              <w:left w:val="single" w:sz="6" w:space="0" w:color="auto"/>
              <w:bottom w:val="single" w:sz="6" w:space="0" w:color="auto"/>
              <w:right w:val="single" w:sz="12"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 xml:space="preserve">500 000 </w:t>
            </w:r>
            <w:proofErr w:type="spellStart"/>
            <w:r w:rsidRPr="00B44C74">
              <w:rPr>
                <w:rFonts w:ascii="Calibri" w:hAnsi="Calibri" w:cs="Calibri"/>
                <w:color w:val="000000"/>
                <w:sz w:val="24"/>
                <w:szCs w:val="24"/>
              </w:rPr>
              <w:t>cart</w:t>
            </w:r>
            <w:proofErr w:type="spellEnd"/>
            <w:r w:rsidRPr="00B44C74">
              <w:rPr>
                <w:rFonts w:ascii="Calibri" w:hAnsi="Calibri" w:cs="Calibri"/>
                <w:color w:val="000000"/>
                <w:sz w:val="24"/>
                <w:szCs w:val="24"/>
              </w:rPr>
              <w:t>.</w:t>
            </w:r>
          </w:p>
        </w:tc>
      </w:tr>
      <w:tr w:rsidR="00B44C74" w:rsidRPr="00B44C74">
        <w:tblPrEx>
          <w:tblCellMar>
            <w:top w:w="0" w:type="dxa"/>
            <w:bottom w:w="0" w:type="dxa"/>
          </w:tblCellMar>
        </w:tblPrEx>
        <w:trPr>
          <w:trHeight w:val="300"/>
        </w:trPr>
        <w:tc>
          <w:tcPr>
            <w:tcW w:w="4480" w:type="dxa"/>
            <w:tcBorders>
              <w:top w:val="single" w:sz="6" w:space="0" w:color="auto"/>
              <w:left w:val="single" w:sz="12"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confectionnées</w:t>
            </w:r>
          </w:p>
        </w:tc>
        <w:tc>
          <w:tcPr>
            <w:tcW w:w="190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208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r w:rsidRPr="00B44C74">
              <w:rPr>
                <w:rFonts w:ascii="Calibri" w:hAnsi="Calibri" w:cs="Calibri"/>
                <w:color w:val="000000"/>
                <w:sz w:val="24"/>
                <w:szCs w:val="24"/>
              </w:rPr>
              <w:t xml:space="preserve">1 000 </w:t>
            </w:r>
            <w:proofErr w:type="spellStart"/>
            <w:r w:rsidRPr="00B44C74">
              <w:rPr>
                <w:rFonts w:ascii="Calibri" w:hAnsi="Calibri" w:cs="Calibri"/>
                <w:color w:val="000000"/>
                <w:sz w:val="24"/>
                <w:szCs w:val="24"/>
              </w:rPr>
              <w:t>000</w:t>
            </w:r>
            <w:proofErr w:type="spellEnd"/>
            <w:r w:rsidRPr="00B44C74">
              <w:rPr>
                <w:rFonts w:ascii="Calibri" w:hAnsi="Calibri" w:cs="Calibri"/>
                <w:color w:val="000000"/>
                <w:sz w:val="24"/>
                <w:szCs w:val="24"/>
              </w:rPr>
              <w:t xml:space="preserve"> cartons</w:t>
            </w:r>
          </w:p>
        </w:tc>
        <w:tc>
          <w:tcPr>
            <w:tcW w:w="158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256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696" w:type="dxa"/>
            <w:tcBorders>
              <w:top w:val="single" w:sz="6" w:space="0" w:color="auto"/>
              <w:left w:val="single" w:sz="6" w:space="0" w:color="auto"/>
              <w:bottom w:val="single" w:sz="6" w:space="0" w:color="auto"/>
              <w:right w:val="single" w:sz="12"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r>
      <w:tr w:rsidR="00B44C74" w:rsidRPr="00B44C74">
        <w:tblPrEx>
          <w:tblCellMar>
            <w:top w:w="0" w:type="dxa"/>
            <w:bottom w:w="0" w:type="dxa"/>
          </w:tblCellMar>
        </w:tblPrEx>
        <w:trPr>
          <w:trHeight w:val="300"/>
        </w:trPr>
        <w:tc>
          <w:tcPr>
            <w:tcW w:w="4480" w:type="dxa"/>
            <w:tcBorders>
              <w:top w:val="single" w:sz="6" w:space="0" w:color="auto"/>
              <w:left w:val="single" w:sz="12"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90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208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584"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2560" w:type="dxa"/>
            <w:tcBorders>
              <w:top w:val="single" w:sz="6" w:space="0" w:color="auto"/>
              <w:left w:val="single" w:sz="6" w:space="0" w:color="auto"/>
              <w:bottom w:val="single" w:sz="6"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696" w:type="dxa"/>
            <w:tcBorders>
              <w:top w:val="single" w:sz="6" w:space="0" w:color="auto"/>
              <w:left w:val="single" w:sz="6" w:space="0" w:color="auto"/>
              <w:bottom w:val="single" w:sz="6" w:space="0" w:color="auto"/>
              <w:right w:val="single" w:sz="12"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r>
      <w:tr w:rsidR="00B44C74" w:rsidRPr="00B44C74">
        <w:tblPrEx>
          <w:tblCellMar>
            <w:top w:w="0" w:type="dxa"/>
            <w:bottom w:w="0" w:type="dxa"/>
          </w:tblCellMar>
        </w:tblPrEx>
        <w:trPr>
          <w:trHeight w:val="316"/>
        </w:trPr>
        <w:tc>
          <w:tcPr>
            <w:tcW w:w="4480" w:type="dxa"/>
            <w:tcBorders>
              <w:top w:val="single" w:sz="6" w:space="0" w:color="auto"/>
              <w:left w:val="single" w:sz="12" w:space="0" w:color="auto"/>
              <w:bottom w:val="single" w:sz="12"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904" w:type="dxa"/>
            <w:tcBorders>
              <w:top w:val="single" w:sz="6" w:space="0" w:color="auto"/>
              <w:left w:val="single" w:sz="6" w:space="0" w:color="auto"/>
              <w:bottom w:val="single" w:sz="12"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2080" w:type="dxa"/>
            <w:tcBorders>
              <w:top w:val="single" w:sz="6" w:space="0" w:color="auto"/>
              <w:left w:val="single" w:sz="6" w:space="0" w:color="auto"/>
              <w:bottom w:val="single" w:sz="12"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584" w:type="dxa"/>
            <w:tcBorders>
              <w:top w:val="single" w:sz="6" w:space="0" w:color="auto"/>
              <w:left w:val="single" w:sz="6" w:space="0" w:color="auto"/>
              <w:bottom w:val="single" w:sz="12"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2560" w:type="dxa"/>
            <w:tcBorders>
              <w:top w:val="single" w:sz="6" w:space="0" w:color="auto"/>
              <w:left w:val="single" w:sz="6" w:space="0" w:color="auto"/>
              <w:bottom w:val="single" w:sz="12" w:space="0" w:color="auto"/>
              <w:right w:val="single" w:sz="6"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c>
          <w:tcPr>
            <w:tcW w:w="1696" w:type="dxa"/>
            <w:tcBorders>
              <w:top w:val="single" w:sz="6" w:space="0" w:color="auto"/>
              <w:left w:val="single" w:sz="6" w:space="0" w:color="auto"/>
              <w:bottom w:val="single" w:sz="12" w:space="0" w:color="auto"/>
              <w:right w:val="single" w:sz="12" w:space="0" w:color="auto"/>
            </w:tcBorders>
          </w:tcPr>
          <w:p w:rsidR="00B44C74" w:rsidRPr="00B44C74" w:rsidRDefault="00B44C74" w:rsidP="00B44C74">
            <w:pPr>
              <w:autoSpaceDE w:val="0"/>
              <w:autoSpaceDN w:val="0"/>
              <w:adjustRightInd w:val="0"/>
              <w:spacing w:after="0" w:line="240" w:lineRule="auto"/>
              <w:jc w:val="center"/>
              <w:rPr>
                <w:rFonts w:ascii="Calibri" w:hAnsi="Calibri" w:cs="Calibri"/>
                <w:color w:val="000000"/>
                <w:sz w:val="24"/>
                <w:szCs w:val="24"/>
              </w:rPr>
            </w:pPr>
          </w:p>
        </w:tc>
      </w:tr>
    </w:tbl>
    <w:p w:rsidR="00B44C74" w:rsidRDefault="00B44C74" w:rsidP="00B44C74">
      <w:pPr>
        <w:jc w:val="center"/>
        <w:rPr>
          <w:sz w:val="24"/>
          <w:szCs w:val="24"/>
        </w:rPr>
      </w:pPr>
    </w:p>
    <w:p w:rsidR="00B44C74" w:rsidRDefault="00B44C74" w:rsidP="00B44C74">
      <w:pPr>
        <w:jc w:val="center"/>
        <w:rPr>
          <w:sz w:val="24"/>
          <w:szCs w:val="24"/>
        </w:rPr>
      </w:pPr>
    </w:p>
    <w:p w:rsidR="00B44C74" w:rsidRDefault="00B44C74" w:rsidP="00B44C74">
      <w:pPr>
        <w:jc w:val="center"/>
        <w:rPr>
          <w:sz w:val="24"/>
          <w:szCs w:val="24"/>
        </w:rPr>
      </w:pPr>
      <w:r w:rsidRPr="00B44C74">
        <w:rPr>
          <w:sz w:val="24"/>
          <w:szCs w:val="24"/>
        </w:rPr>
        <w:lastRenderedPageBreak/>
        <w:drawing>
          <wp:inline distT="0" distB="0" distL="0" distR="0">
            <wp:extent cx="8640000" cy="6165697"/>
            <wp:effectExtent l="19050" t="0" r="8700" b="0"/>
            <wp:docPr id="9" name="Image 2" descr="PLAN 2 RHODE V S 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2 RHODE V S G .jpg"/>
                    <pic:cNvPicPr/>
                  </pic:nvPicPr>
                  <pic:blipFill>
                    <a:blip r:embed="rId9" cstate="print">
                      <a:lum bright="-23000" contrast="23000"/>
                    </a:blip>
                    <a:srcRect l="339" t="2430" r="39314" b="35968"/>
                    <a:stretch>
                      <a:fillRect/>
                    </a:stretch>
                  </pic:blipFill>
                  <pic:spPr>
                    <a:xfrm>
                      <a:off x="0" y="0"/>
                      <a:ext cx="8640000" cy="6165697"/>
                    </a:xfrm>
                    <a:prstGeom prst="rect">
                      <a:avLst/>
                    </a:prstGeom>
                  </pic:spPr>
                </pic:pic>
              </a:graphicData>
            </a:graphic>
          </wp:inline>
        </w:drawing>
      </w:r>
    </w:p>
    <w:p w:rsidR="00B44C74" w:rsidRPr="00B44C74" w:rsidRDefault="00B44C74" w:rsidP="00B44C74">
      <w:pPr>
        <w:spacing w:line="240" w:lineRule="auto"/>
        <w:jc w:val="both"/>
        <w:rPr>
          <w:sz w:val="28"/>
          <w:szCs w:val="28"/>
        </w:rPr>
      </w:pPr>
      <w:r w:rsidRPr="00B44C74">
        <w:rPr>
          <w:b/>
          <w:sz w:val="28"/>
          <w:szCs w:val="28"/>
        </w:rPr>
        <w:t>Document 7</w:t>
      </w:r>
      <w:r w:rsidRPr="00B44C74">
        <w:rPr>
          <w:sz w:val="28"/>
          <w:szCs w:val="28"/>
        </w:rPr>
        <w:t xml:space="preserve"> - La caserne de troupe occupe le grand côté de la cour située dans le prolongement de l’entrée. Le vaste parapet d’infanterie ressort nettement. A l’extérieur du  fort est implantée une autre position d’infanterie à l’est (source : voir doc.4).</w:t>
      </w:r>
    </w:p>
    <w:p w:rsidR="00B44C74" w:rsidRDefault="00B44C74" w:rsidP="00B44C74">
      <w:pPr>
        <w:jc w:val="center"/>
        <w:rPr>
          <w:sz w:val="24"/>
          <w:szCs w:val="24"/>
        </w:rPr>
      </w:pPr>
    </w:p>
    <w:p w:rsidR="00B44C74" w:rsidRDefault="00B44C74" w:rsidP="00B44C74">
      <w:pPr>
        <w:rPr>
          <w:b/>
        </w:rPr>
      </w:pPr>
      <w:r>
        <w:rPr>
          <w:b/>
        </w:rPr>
        <w:lastRenderedPageBreak/>
        <w:t>Echo du Bois – n° 95 – Forts du secteur et fort non construit</w:t>
      </w:r>
    </w:p>
    <w:p w:rsidR="00B44C74" w:rsidRDefault="00B44C74" w:rsidP="00A23FC4">
      <w:pPr>
        <w:jc w:val="center"/>
        <w:rPr>
          <w:sz w:val="24"/>
          <w:szCs w:val="24"/>
        </w:rPr>
      </w:pPr>
      <w:r w:rsidRPr="00B44C74">
        <w:rPr>
          <w:sz w:val="24"/>
          <w:szCs w:val="24"/>
        </w:rPr>
        <w:drawing>
          <wp:inline distT="0" distB="0" distL="0" distR="0">
            <wp:extent cx="8640000" cy="5693963"/>
            <wp:effectExtent l="19050" t="0" r="8700" b="0"/>
            <wp:docPr id="11" name="Image 3" descr="Img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2.jpg"/>
                    <pic:cNvPicPr/>
                  </pic:nvPicPr>
                  <pic:blipFill>
                    <a:blip r:embed="rId10" cstate="print">
                      <a:grayscl/>
                      <a:lum bright="-11000" contrast="28000"/>
                    </a:blip>
                    <a:stretch>
                      <a:fillRect/>
                    </a:stretch>
                  </pic:blipFill>
                  <pic:spPr>
                    <a:xfrm>
                      <a:off x="0" y="0"/>
                      <a:ext cx="8640000" cy="5693963"/>
                    </a:xfrm>
                    <a:prstGeom prst="rect">
                      <a:avLst/>
                    </a:prstGeom>
                  </pic:spPr>
                </pic:pic>
              </a:graphicData>
            </a:graphic>
          </wp:inline>
        </w:drawing>
      </w:r>
    </w:p>
    <w:p w:rsidR="00A23FC4" w:rsidRPr="00A23FC4" w:rsidRDefault="00A23FC4" w:rsidP="00A23FC4">
      <w:pPr>
        <w:pStyle w:val="Pieddepage"/>
        <w:jc w:val="both"/>
        <w:rPr>
          <w:sz w:val="28"/>
          <w:szCs w:val="28"/>
        </w:rPr>
      </w:pPr>
      <w:r w:rsidRPr="00A23FC4">
        <w:rPr>
          <w:b/>
          <w:sz w:val="28"/>
          <w:szCs w:val="28"/>
        </w:rPr>
        <w:t>Document 8</w:t>
      </w:r>
      <w:r w:rsidRPr="00A23FC4">
        <w:rPr>
          <w:sz w:val="28"/>
          <w:szCs w:val="28"/>
        </w:rPr>
        <w:t xml:space="preserve">  (S.H.D., Vincennes, Archives du Génie, C.D.A.O.A.).- Ce plan sera à comparer ultérieurement avec celui du fort de </w:t>
      </w:r>
      <w:proofErr w:type="spellStart"/>
      <w:r w:rsidRPr="00A23FC4">
        <w:rPr>
          <w:sz w:val="28"/>
          <w:szCs w:val="28"/>
        </w:rPr>
        <w:t>Sucy</w:t>
      </w:r>
      <w:proofErr w:type="spellEnd"/>
      <w:r w:rsidRPr="00A23FC4">
        <w:rPr>
          <w:sz w:val="28"/>
          <w:szCs w:val="28"/>
        </w:rPr>
        <w:t>. Remarquer la longue poterne, l’absence de galerie de tête sur les caponnières du front de tête et les arceaux de décharge de la contrescarpe.</w:t>
      </w:r>
    </w:p>
    <w:p w:rsidR="00A23FC4" w:rsidRDefault="00A23FC4" w:rsidP="00A23FC4">
      <w:pPr>
        <w:jc w:val="center"/>
        <w:rPr>
          <w:sz w:val="24"/>
          <w:szCs w:val="24"/>
        </w:rPr>
      </w:pPr>
    </w:p>
    <w:p w:rsidR="00A23FC4" w:rsidRDefault="00A23FC4" w:rsidP="00A23FC4">
      <w:pPr>
        <w:jc w:val="center"/>
        <w:rPr>
          <w:sz w:val="24"/>
          <w:szCs w:val="24"/>
        </w:rPr>
      </w:pPr>
    </w:p>
    <w:p w:rsidR="00A23FC4" w:rsidRPr="00A23FC4" w:rsidRDefault="00A23FC4" w:rsidP="00A23FC4">
      <w:pPr>
        <w:spacing w:line="240" w:lineRule="auto"/>
        <w:jc w:val="both"/>
        <w:rPr>
          <w:sz w:val="28"/>
          <w:szCs w:val="28"/>
        </w:rPr>
      </w:pPr>
      <w:r w:rsidRPr="00A23FC4">
        <w:rPr>
          <w:b/>
          <w:sz w:val="28"/>
          <w:szCs w:val="28"/>
        </w:rPr>
        <w:lastRenderedPageBreak/>
        <w:t xml:space="preserve">Document 9 – </w:t>
      </w:r>
      <w:r w:rsidRPr="00A23FC4">
        <w:rPr>
          <w:sz w:val="28"/>
          <w:szCs w:val="28"/>
        </w:rPr>
        <w:t>(S.H.D., Vincennes, Archives du Génie, C.D.A.O.A.). La répartition de l’artillerie sur les dessus du fort est reprise à l’aide de flèches d’après une mauvaise copie.</w:t>
      </w:r>
    </w:p>
    <w:p w:rsidR="00A23FC4" w:rsidRDefault="00A23FC4" w:rsidP="00A23FC4">
      <w:pPr>
        <w:jc w:val="center"/>
        <w:rPr>
          <w:sz w:val="24"/>
          <w:szCs w:val="24"/>
        </w:rPr>
      </w:pPr>
      <w:r w:rsidRPr="00A23FC4">
        <w:rPr>
          <w:sz w:val="24"/>
          <w:szCs w:val="24"/>
        </w:rPr>
        <w:drawing>
          <wp:inline distT="0" distB="0" distL="0" distR="0">
            <wp:extent cx="4320000" cy="6318367"/>
            <wp:effectExtent l="19050" t="0" r="4350" b="0"/>
            <wp:docPr id="15" name="Image 6" descr="img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7.jpg"/>
                    <pic:cNvPicPr/>
                  </pic:nvPicPr>
                  <pic:blipFill>
                    <a:blip r:embed="rId11" cstate="print">
                      <a:grayscl/>
                      <a:lum bright="-12000"/>
                    </a:blip>
                    <a:srcRect l="6890" t="26634" r="24606" b="19177"/>
                    <a:stretch>
                      <a:fillRect/>
                    </a:stretch>
                  </pic:blipFill>
                  <pic:spPr>
                    <a:xfrm>
                      <a:off x="0" y="0"/>
                      <a:ext cx="4320000" cy="6318367"/>
                    </a:xfrm>
                    <a:prstGeom prst="rect">
                      <a:avLst/>
                    </a:prstGeom>
                  </pic:spPr>
                </pic:pic>
              </a:graphicData>
            </a:graphic>
          </wp:inline>
        </w:drawing>
      </w:r>
    </w:p>
    <w:p w:rsidR="00A23FC4" w:rsidRDefault="00A23FC4" w:rsidP="00A23FC4">
      <w:pPr>
        <w:jc w:val="center"/>
        <w:rPr>
          <w:sz w:val="24"/>
          <w:szCs w:val="24"/>
        </w:rPr>
      </w:pPr>
    </w:p>
    <w:p w:rsidR="00A23FC4" w:rsidRDefault="00A23FC4" w:rsidP="00A23FC4">
      <w:pPr>
        <w:jc w:val="center"/>
        <w:rPr>
          <w:sz w:val="24"/>
          <w:szCs w:val="24"/>
        </w:rPr>
      </w:pPr>
      <w:r w:rsidRPr="00A23FC4">
        <w:rPr>
          <w:sz w:val="24"/>
          <w:szCs w:val="24"/>
        </w:rPr>
        <w:lastRenderedPageBreak/>
        <w:drawing>
          <wp:inline distT="0" distB="0" distL="0" distR="0">
            <wp:extent cx="8640000" cy="6113684"/>
            <wp:effectExtent l="19050" t="0" r="8700" b="0"/>
            <wp:docPr id="16" name="Image 10" descr="img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6.jpg"/>
                    <pic:cNvPicPr/>
                  </pic:nvPicPr>
                  <pic:blipFill>
                    <a:blip r:embed="rId12" cstate="print">
                      <a:lum bright="-9000" contrast="5000"/>
                    </a:blip>
                    <a:stretch>
                      <a:fillRect/>
                    </a:stretch>
                  </pic:blipFill>
                  <pic:spPr>
                    <a:xfrm>
                      <a:off x="0" y="0"/>
                      <a:ext cx="8640000" cy="6113684"/>
                    </a:xfrm>
                    <a:prstGeom prst="rect">
                      <a:avLst/>
                    </a:prstGeom>
                  </pic:spPr>
                </pic:pic>
              </a:graphicData>
            </a:graphic>
          </wp:inline>
        </w:drawing>
      </w:r>
    </w:p>
    <w:p w:rsidR="00A23FC4" w:rsidRPr="00A23FC4" w:rsidRDefault="00A23FC4" w:rsidP="00A23FC4">
      <w:pPr>
        <w:spacing w:line="240" w:lineRule="auto"/>
        <w:jc w:val="both"/>
        <w:rPr>
          <w:sz w:val="24"/>
          <w:szCs w:val="24"/>
        </w:rPr>
      </w:pPr>
      <w:r w:rsidRPr="00A23FC4">
        <w:rPr>
          <w:b/>
          <w:sz w:val="24"/>
          <w:szCs w:val="24"/>
        </w:rPr>
        <w:t>Document 10.</w:t>
      </w:r>
      <w:r w:rsidRPr="00A23FC4">
        <w:rPr>
          <w:sz w:val="24"/>
          <w:szCs w:val="24"/>
        </w:rPr>
        <w:t xml:space="preserve"> Pour donner une bonne idée de l’ensemble caponnière – bâtiment d’entrée, cette partie est représentée sur deux niveaux. Dans le niveau inférieur, qui représente la caponnière, sont encore inclus la fosse du pont-levis, les locaux situés de part et d’autre et le début de la montée des escaliers. Le couloir transversal et les six locaux situés vers la cour font partie du niveau supérieur. Le reste du niveau supérieur est représenté dans la figure de détail D avec notamment les sorties du mur crénelé. Remarquer également </w:t>
      </w:r>
      <w:r w:rsidRPr="00A23FC4">
        <w:rPr>
          <w:i/>
          <w:sz w:val="24"/>
          <w:szCs w:val="24"/>
        </w:rPr>
        <w:t>l’abri du cavalier</w:t>
      </w:r>
      <w:r w:rsidRPr="00A23FC4">
        <w:rPr>
          <w:sz w:val="24"/>
          <w:szCs w:val="24"/>
        </w:rPr>
        <w:t xml:space="preserve"> dont la façade située du côté de la gorge est néanmoins encore protégée par un mur disposé en avant.</w:t>
      </w:r>
    </w:p>
    <w:p w:rsidR="00A23FC4" w:rsidRPr="00A23FC4" w:rsidRDefault="00A23FC4" w:rsidP="00A23FC4">
      <w:pPr>
        <w:spacing w:line="240" w:lineRule="auto"/>
        <w:jc w:val="both"/>
        <w:rPr>
          <w:sz w:val="28"/>
          <w:szCs w:val="28"/>
        </w:rPr>
      </w:pPr>
      <w:r w:rsidRPr="00A23FC4">
        <w:rPr>
          <w:b/>
          <w:sz w:val="28"/>
          <w:szCs w:val="28"/>
        </w:rPr>
        <w:lastRenderedPageBreak/>
        <w:t xml:space="preserve">Document 11 – </w:t>
      </w:r>
      <w:r w:rsidRPr="00A23FC4">
        <w:rPr>
          <w:sz w:val="28"/>
          <w:szCs w:val="28"/>
        </w:rPr>
        <w:t>(S.H.D., Vincennes, Archives du Génie, C.D.A.O.A.).La disposition de l’artillerie est également reportée d’après un mauvais plan.</w:t>
      </w:r>
    </w:p>
    <w:p w:rsidR="00A23FC4" w:rsidRDefault="00A23FC4" w:rsidP="00EC3605">
      <w:pPr>
        <w:jc w:val="center"/>
        <w:rPr>
          <w:sz w:val="24"/>
          <w:szCs w:val="24"/>
        </w:rPr>
      </w:pPr>
      <w:r w:rsidRPr="00A23FC4">
        <w:rPr>
          <w:sz w:val="28"/>
          <w:szCs w:val="28"/>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419725" cy="7277100"/>
            <wp:effectExtent l="19050" t="0" r="9525" b="0"/>
            <wp:wrapSquare wrapText="bothSides"/>
            <wp:docPr id="26" name="Image 3" descr="img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5.jpg"/>
                    <pic:cNvPicPr/>
                  </pic:nvPicPr>
                  <pic:blipFill>
                    <a:blip r:embed="rId13" cstate="print">
                      <a:grayscl/>
                      <a:lum bright="-6000" contrast="7000"/>
                    </a:blip>
                    <a:srcRect l="11176" t="14841" r="26077" b="25527"/>
                    <a:stretch>
                      <a:fillRect/>
                    </a:stretch>
                  </pic:blipFill>
                  <pic:spPr>
                    <a:xfrm>
                      <a:off x="0" y="0"/>
                      <a:ext cx="5419725" cy="7277100"/>
                    </a:xfrm>
                    <a:prstGeom prst="rect">
                      <a:avLst/>
                    </a:prstGeom>
                  </pic:spPr>
                </pic:pic>
              </a:graphicData>
            </a:graphic>
          </wp:anchor>
        </w:drawing>
      </w:r>
      <w:r w:rsidRPr="00A23FC4">
        <w:rPr>
          <w:sz w:val="28"/>
          <w:szCs w:val="28"/>
        </w:rPr>
        <w:br w:type="textWrapping" w:clear="all"/>
      </w:r>
      <w:r w:rsidRPr="00A23FC4">
        <w:rPr>
          <w:sz w:val="24"/>
          <w:szCs w:val="24"/>
        </w:rPr>
        <w:lastRenderedPageBreak/>
        <w:drawing>
          <wp:inline distT="0" distB="0" distL="0" distR="0">
            <wp:extent cx="7920000" cy="6365297"/>
            <wp:effectExtent l="19050" t="0" r="4800" b="0"/>
            <wp:docPr id="18" name="Image 9" descr=".JPGdocument 12 a noir et 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document 12 a noir et blanc.JPG"/>
                    <pic:cNvPicPr/>
                  </pic:nvPicPr>
                  <pic:blipFill>
                    <a:blip r:embed="rId14" cstate="print">
                      <a:lum bright="-15000" contrast="31000"/>
                    </a:blip>
                    <a:stretch>
                      <a:fillRect/>
                    </a:stretch>
                  </pic:blipFill>
                  <pic:spPr>
                    <a:xfrm>
                      <a:off x="0" y="0"/>
                      <a:ext cx="7920000" cy="6365297"/>
                    </a:xfrm>
                    <a:prstGeom prst="rect">
                      <a:avLst/>
                    </a:prstGeom>
                  </pic:spPr>
                </pic:pic>
              </a:graphicData>
            </a:graphic>
          </wp:inline>
        </w:drawing>
      </w:r>
    </w:p>
    <w:p w:rsidR="00EC3605" w:rsidRDefault="00EC3605" w:rsidP="00EC3605">
      <w:pPr>
        <w:spacing w:after="0" w:line="240" w:lineRule="auto"/>
        <w:jc w:val="both"/>
        <w:rPr>
          <w:i/>
          <w:sz w:val="20"/>
          <w:szCs w:val="20"/>
        </w:rPr>
      </w:pPr>
      <w:r w:rsidRPr="00B31176">
        <w:rPr>
          <w:b/>
          <w:sz w:val="20"/>
          <w:szCs w:val="20"/>
        </w:rPr>
        <w:t>Document 12a –</w:t>
      </w:r>
      <w:r>
        <w:rPr>
          <w:sz w:val="20"/>
          <w:szCs w:val="20"/>
        </w:rPr>
        <w:t>Source</w:t>
      </w:r>
      <w:r w:rsidRPr="00B31176">
        <w:rPr>
          <w:sz w:val="20"/>
          <w:szCs w:val="20"/>
        </w:rPr>
        <w:t> : Cour</w:t>
      </w:r>
      <w:r>
        <w:rPr>
          <w:sz w:val="20"/>
          <w:szCs w:val="20"/>
        </w:rPr>
        <w:t>s</w:t>
      </w:r>
      <w:r w:rsidRPr="00B31176">
        <w:rPr>
          <w:sz w:val="20"/>
          <w:szCs w:val="20"/>
        </w:rPr>
        <w:t xml:space="preserve"> de Fortification permanente (Application). Instruction sur l’exécution des Forts d’étude. Planches. (</w:t>
      </w:r>
      <w:proofErr w:type="spellStart"/>
      <w:r w:rsidRPr="00B31176">
        <w:rPr>
          <w:sz w:val="20"/>
          <w:szCs w:val="20"/>
        </w:rPr>
        <w:t>s.d</w:t>
      </w:r>
      <w:proofErr w:type="spellEnd"/>
      <w:r w:rsidRPr="00B31176">
        <w:rPr>
          <w:sz w:val="20"/>
          <w:szCs w:val="20"/>
        </w:rPr>
        <w:t xml:space="preserve">.). Ce document d’une collection privée est sans doute incomplet et ne permet pas tel quel de conclure à l’absence d’un </w:t>
      </w:r>
      <w:r w:rsidRPr="00B31176">
        <w:rPr>
          <w:i/>
          <w:sz w:val="20"/>
          <w:szCs w:val="20"/>
        </w:rPr>
        <w:t>abri du cavalier.</w:t>
      </w:r>
    </w:p>
    <w:p w:rsidR="00EC3605" w:rsidRDefault="00EC3605" w:rsidP="00EC3605">
      <w:pPr>
        <w:jc w:val="center"/>
        <w:rPr>
          <w:sz w:val="24"/>
          <w:szCs w:val="24"/>
        </w:rPr>
      </w:pPr>
    </w:p>
    <w:p w:rsidR="00EC3605" w:rsidRPr="00EC3605" w:rsidRDefault="00EC3605" w:rsidP="00EC3605">
      <w:pPr>
        <w:spacing w:after="0" w:line="240" w:lineRule="auto"/>
        <w:jc w:val="both"/>
        <w:rPr>
          <w:sz w:val="24"/>
          <w:szCs w:val="24"/>
        </w:rPr>
      </w:pPr>
      <w:r w:rsidRPr="00EC3605">
        <w:rPr>
          <w:sz w:val="24"/>
          <w:szCs w:val="24"/>
        </w:rPr>
        <w:lastRenderedPageBreak/>
        <w:drawing>
          <wp:inline distT="0" distB="0" distL="0" distR="0">
            <wp:extent cx="3120000" cy="6480000"/>
            <wp:effectExtent l="19050" t="0" r="4200" b="0"/>
            <wp:docPr id="27" name="Image 13" descr="img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9.jpg"/>
                    <pic:cNvPicPr/>
                  </pic:nvPicPr>
                  <pic:blipFill>
                    <a:blip r:embed="rId15" cstate="print">
                      <a:grayscl/>
                      <a:lum bright="-19000" contrast="6000"/>
                    </a:blip>
                    <a:srcRect l="59453" t="21393" r="13989" b="26526"/>
                    <a:stretch>
                      <a:fillRect/>
                    </a:stretch>
                  </pic:blipFill>
                  <pic:spPr>
                    <a:xfrm>
                      <a:off x="0" y="0"/>
                      <a:ext cx="3120000" cy="6480000"/>
                    </a:xfrm>
                    <a:prstGeom prst="rect">
                      <a:avLst/>
                    </a:prstGeom>
                  </pic:spPr>
                </pic:pic>
              </a:graphicData>
            </a:graphic>
          </wp:inline>
        </w:drawing>
      </w:r>
      <w:r w:rsidRPr="00EC3605">
        <w:rPr>
          <w:b/>
          <w:sz w:val="20"/>
          <w:szCs w:val="20"/>
        </w:rPr>
        <w:t xml:space="preserve"> </w:t>
      </w:r>
      <w:r w:rsidRPr="00EC3605">
        <w:rPr>
          <w:b/>
          <w:sz w:val="24"/>
          <w:szCs w:val="24"/>
        </w:rPr>
        <w:t xml:space="preserve">Document 12b </w:t>
      </w:r>
      <w:r w:rsidRPr="00EC3605">
        <w:rPr>
          <w:sz w:val="24"/>
          <w:szCs w:val="24"/>
        </w:rPr>
        <w:t xml:space="preserve">- La contenance n’est que de 352 à cause d’une erreur pour les chambres 17 à 21 </w:t>
      </w:r>
      <w:r w:rsidRPr="00EC3605">
        <w:rPr>
          <w:sz w:val="24"/>
          <w:szCs w:val="24"/>
        </w:rPr>
        <w:sym w:font="Symbol" w:char="F0DE"/>
      </w:r>
      <w:r w:rsidRPr="00EC3605">
        <w:rPr>
          <w:sz w:val="24"/>
          <w:szCs w:val="24"/>
        </w:rPr>
        <w:t xml:space="preserve"> 5 x 44 = 220.</w:t>
      </w:r>
    </w:p>
    <w:p w:rsidR="00EC3605" w:rsidRPr="00EC3605" w:rsidRDefault="00EC3605" w:rsidP="00EC3605">
      <w:pPr>
        <w:spacing w:after="0" w:line="240" w:lineRule="auto"/>
        <w:jc w:val="both"/>
        <w:rPr>
          <w:sz w:val="24"/>
          <w:szCs w:val="24"/>
        </w:rPr>
      </w:pPr>
    </w:p>
    <w:p w:rsidR="00EC3605" w:rsidRDefault="00EC3605" w:rsidP="00EC3605">
      <w:pPr>
        <w:rPr>
          <w:sz w:val="24"/>
          <w:szCs w:val="24"/>
        </w:rPr>
      </w:pPr>
    </w:p>
    <w:sectPr w:rsidR="00EC3605" w:rsidSect="004112A0">
      <w:pgSz w:w="16838" w:h="11906" w:orient="landscape"/>
      <w:pgMar w:top="284" w:right="227" w:bottom="227" w:left="227" w:header="708" w:footer="708" w:gutter="0"/>
      <w:cols w:space="708"/>
      <w:docGrid w:linePitch="435"/>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60"/>
  <w:displayHorizontalDrawingGridEvery w:val="2"/>
  <w:characterSpacingControl w:val="doNotCompress"/>
  <w:compat/>
  <w:rsids>
    <w:rsidRoot w:val="001E2FE8"/>
    <w:rsid w:val="001E2FE8"/>
    <w:rsid w:val="004112A0"/>
    <w:rsid w:val="006C0AC7"/>
    <w:rsid w:val="007541DE"/>
    <w:rsid w:val="007F27E2"/>
    <w:rsid w:val="00A23FC4"/>
    <w:rsid w:val="00B44C74"/>
    <w:rsid w:val="00CD21DC"/>
    <w:rsid w:val="00E65863"/>
    <w:rsid w:val="00E7770C"/>
    <w:rsid w:val="00EC3605"/>
    <w:rsid w:val="00F466F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2"/>
        <w:szCs w:val="3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1D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E2F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2FE8"/>
    <w:rPr>
      <w:rFonts w:ascii="Tahoma" w:hAnsi="Tahoma" w:cs="Tahoma"/>
      <w:sz w:val="16"/>
      <w:szCs w:val="16"/>
    </w:rPr>
  </w:style>
  <w:style w:type="paragraph" w:styleId="Pieddepage">
    <w:name w:val="footer"/>
    <w:basedOn w:val="Normal"/>
    <w:link w:val="PieddepageCar"/>
    <w:uiPriority w:val="99"/>
    <w:unhideWhenUsed/>
    <w:rsid w:val="00A23FC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23FC4"/>
  </w:style>
</w:styles>
</file>

<file path=word/webSettings.xml><?xml version="1.0" encoding="utf-8"?>
<w:webSettings xmlns:r="http://schemas.openxmlformats.org/officeDocument/2006/relationships" xmlns:w="http://schemas.openxmlformats.org/wordprocessingml/2006/main">
  <w:divs>
    <w:div w:id="90953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13</Pages>
  <Words>803</Words>
  <Characters>4422</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GUEBEL M. CHRISTINE</dc:creator>
  <cp:lastModifiedBy>GUEBEL M. CHRISTINE</cp:lastModifiedBy>
  <cp:revision>1</cp:revision>
  <dcterms:created xsi:type="dcterms:W3CDTF">2017-01-11T08:31:00Z</dcterms:created>
  <dcterms:modified xsi:type="dcterms:W3CDTF">2017-01-11T10:03:00Z</dcterms:modified>
</cp:coreProperties>
</file>